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94948" w14:textId="77777777" w:rsidR="000B7810"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650554F7" w14:textId="77777777" w:rsidR="00946CF3" w:rsidRPr="00657009" w:rsidRDefault="00946CF3"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7D1E76" w:rsidP="00F067C8">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3DF6A237"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9823ED">
              <w:rPr>
                <w:noProof/>
                <w:webHidden/>
              </w:rPr>
              <w:t>2</w:t>
            </w:r>
            <w:r w:rsidR="005F51CC">
              <w:rPr>
                <w:noProof/>
                <w:webHidden/>
              </w:rPr>
              <w:fldChar w:fldCharType="end"/>
            </w:r>
          </w:hyperlink>
        </w:p>
        <w:p w14:paraId="6A6756CA" w14:textId="327523F7"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Pr="005C0188">
              <w:rPr>
                <w:rStyle w:val="Hipervnculo"/>
                <w:rFonts w:cstheme="minorHAnsi"/>
                <w:b/>
                <w:noProof/>
              </w:rPr>
              <w:t>2. Panorama Económico y Financiero</w:t>
            </w:r>
            <w:r>
              <w:rPr>
                <w:noProof/>
                <w:webHidden/>
              </w:rPr>
              <w:tab/>
            </w:r>
            <w:r>
              <w:rPr>
                <w:noProof/>
                <w:webHidden/>
              </w:rPr>
              <w:fldChar w:fldCharType="begin"/>
            </w:r>
            <w:r>
              <w:rPr>
                <w:noProof/>
                <w:webHidden/>
              </w:rPr>
              <w:instrText xml:space="preserve"> PAGEREF _Toc161472867 \h </w:instrText>
            </w:r>
            <w:r>
              <w:rPr>
                <w:noProof/>
                <w:webHidden/>
              </w:rPr>
            </w:r>
            <w:r>
              <w:rPr>
                <w:noProof/>
                <w:webHidden/>
              </w:rPr>
              <w:fldChar w:fldCharType="separate"/>
            </w:r>
            <w:r w:rsidR="009823ED">
              <w:rPr>
                <w:noProof/>
                <w:webHidden/>
              </w:rPr>
              <w:t>2</w:t>
            </w:r>
            <w:r>
              <w:rPr>
                <w:noProof/>
                <w:webHidden/>
              </w:rPr>
              <w:fldChar w:fldCharType="end"/>
            </w:r>
          </w:hyperlink>
        </w:p>
        <w:p w14:paraId="19796F35" w14:textId="17BB23C7"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Pr="005C0188">
              <w:rPr>
                <w:rStyle w:val="Hipervnculo"/>
                <w:rFonts w:cstheme="minorHAnsi"/>
                <w:b/>
                <w:noProof/>
              </w:rPr>
              <w:t>3. Organización y Objeto Social:</w:t>
            </w:r>
            <w:r>
              <w:rPr>
                <w:noProof/>
                <w:webHidden/>
              </w:rPr>
              <w:tab/>
            </w:r>
            <w:r>
              <w:rPr>
                <w:noProof/>
                <w:webHidden/>
              </w:rPr>
              <w:fldChar w:fldCharType="begin"/>
            </w:r>
            <w:r>
              <w:rPr>
                <w:noProof/>
                <w:webHidden/>
              </w:rPr>
              <w:instrText xml:space="preserve"> PAGEREF _Toc161472868 \h </w:instrText>
            </w:r>
            <w:r>
              <w:rPr>
                <w:noProof/>
                <w:webHidden/>
              </w:rPr>
            </w:r>
            <w:r>
              <w:rPr>
                <w:noProof/>
                <w:webHidden/>
              </w:rPr>
              <w:fldChar w:fldCharType="separate"/>
            </w:r>
            <w:r w:rsidR="009823ED">
              <w:rPr>
                <w:noProof/>
                <w:webHidden/>
              </w:rPr>
              <w:t>2</w:t>
            </w:r>
            <w:r>
              <w:rPr>
                <w:noProof/>
                <w:webHidden/>
              </w:rPr>
              <w:fldChar w:fldCharType="end"/>
            </w:r>
          </w:hyperlink>
        </w:p>
        <w:p w14:paraId="62AC0657" w14:textId="30318DF9"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Pr="005C0188">
              <w:rPr>
                <w:rStyle w:val="Hipervnculo"/>
                <w:rFonts w:cstheme="minorHAnsi"/>
                <w:b/>
                <w:noProof/>
              </w:rPr>
              <w:t>4. Bases de Preparación de los Estados Financieros:</w:t>
            </w:r>
            <w:r>
              <w:rPr>
                <w:noProof/>
                <w:webHidden/>
              </w:rPr>
              <w:tab/>
            </w:r>
            <w:r>
              <w:rPr>
                <w:noProof/>
                <w:webHidden/>
              </w:rPr>
              <w:fldChar w:fldCharType="begin"/>
            </w:r>
            <w:r>
              <w:rPr>
                <w:noProof/>
                <w:webHidden/>
              </w:rPr>
              <w:instrText xml:space="preserve"> PAGEREF _Toc161472869 \h </w:instrText>
            </w:r>
            <w:r>
              <w:rPr>
                <w:noProof/>
                <w:webHidden/>
              </w:rPr>
            </w:r>
            <w:r>
              <w:rPr>
                <w:noProof/>
                <w:webHidden/>
              </w:rPr>
              <w:fldChar w:fldCharType="separate"/>
            </w:r>
            <w:r w:rsidR="009823ED">
              <w:rPr>
                <w:noProof/>
                <w:webHidden/>
              </w:rPr>
              <w:t>5</w:t>
            </w:r>
            <w:r>
              <w:rPr>
                <w:noProof/>
                <w:webHidden/>
              </w:rPr>
              <w:fldChar w:fldCharType="end"/>
            </w:r>
          </w:hyperlink>
        </w:p>
        <w:p w14:paraId="7C7C1962" w14:textId="0D015E20"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Pr="005C0188">
              <w:rPr>
                <w:rStyle w:val="Hipervnculo"/>
                <w:rFonts w:cstheme="minorHAnsi"/>
                <w:b/>
                <w:noProof/>
              </w:rPr>
              <w:t>5. Políticas de Contabilidad Significativas:</w:t>
            </w:r>
            <w:r>
              <w:rPr>
                <w:noProof/>
                <w:webHidden/>
              </w:rPr>
              <w:tab/>
            </w:r>
            <w:r>
              <w:rPr>
                <w:noProof/>
                <w:webHidden/>
              </w:rPr>
              <w:fldChar w:fldCharType="begin"/>
            </w:r>
            <w:r>
              <w:rPr>
                <w:noProof/>
                <w:webHidden/>
              </w:rPr>
              <w:instrText xml:space="preserve"> PAGEREF _Toc161472870 \h </w:instrText>
            </w:r>
            <w:r>
              <w:rPr>
                <w:noProof/>
                <w:webHidden/>
              </w:rPr>
            </w:r>
            <w:r>
              <w:rPr>
                <w:noProof/>
                <w:webHidden/>
              </w:rPr>
              <w:fldChar w:fldCharType="separate"/>
            </w:r>
            <w:r w:rsidR="009823ED">
              <w:rPr>
                <w:noProof/>
                <w:webHidden/>
              </w:rPr>
              <w:t>6</w:t>
            </w:r>
            <w:r>
              <w:rPr>
                <w:noProof/>
                <w:webHidden/>
              </w:rPr>
              <w:fldChar w:fldCharType="end"/>
            </w:r>
          </w:hyperlink>
        </w:p>
        <w:p w14:paraId="3FE6C661" w14:textId="61A8002C"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Pr="005C0188">
              <w:rPr>
                <w:rStyle w:val="Hipervnculo"/>
                <w:rFonts w:cstheme="minorHAnsi"/>
                <w:b/>
                <w:noProof/>
              </w:rPr>
              <w:t>6. Posición en Moneda Extranjera y Protección por Riesgo Cambiario:</w:t>
            </w:r>
            <w:r>
              <w:rPr>
                <w:noProof/>
                <w:webHidden/>
              </w:rPr>
              <w:tab/>
            </w:r>
            <w:r>
              <w:rPr>
                <w:noProof/>
                <w:webHidden/>
              </w:rPr>
              <w:fldChar w:fldCharType="begin"/>
            </w:r>
            <w:r>
              <w:rPr>
                <w:noProof/>
                <w:webHidden/>
              </w:rPr>
              <w:instrText xml:space="preserve"> PAGEREF _Toc161472871 \h </w:instrText>
            </w:r>
            <w:r>
              <w:rPr>
                <w:noProof/>
                <w:webHidden/>
              </w:rPr>
            </w:r>
            <w:r>
              <w:rPr>
                <w:noProof/>
                <w:webHidden/>
              </w:rPr>
              <w:fldChar w:fldCharType="separate"/>
            </w:r>
            <w:r w:rsidR="009823ED">
              <w:rPr>
                <w:noProof/>
                <w:webHidden/>
              </w:rPr>
              <w:t>8</w:t>
            </w:r>
            <w:r>
              <w:rPr>
                <w:noProof/>
                <w:webHidden/>
              </w:rPr>
              <w:fldChar w:fldCharType="end"/>
            </w:r>
          </w:hyperlink>
        </w:p>
        <w:p w14:paraId="135541CC" w14:textId="08BC7F66"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Pr="005C0188">
              <w:rPr>
                <w:rStyle w:val="Hipervnculo"/>
                <w:rFonts w:cstheme="minorHAnsi"/>
                <w:b/>
                <w:noProof/>
              </w:rPr>
              <w:t>7. Reporte Analítico del Activo:</w:t>
            </w:r>
            <w:r>
              <w:rPr>
                <w:noProof/>
                <w:webHidden/>
              </w:rPr>
              <w:tab/>
            </w:r>
            <w:r>
              <w:rPr>
                <w:noProof/>
                <w:webHidden/>
              </w:rPr>
              <w:fldChar w:fldCharType="begin"/>
            </w:r>
            <w:r>
              <w:rPr>
                <w:noProof/>
                <w:webHidden/>
              </w:rPr>
              <w:instrText xml:space="preserve"> PAGEREF _Toc161472872 \h </w:instrText>
            </w:r>
            <w:r>
              <w:rPr>
                <w:noProof/>
                <w:webHidden/>
              </w:rPr>
            </w:r>
            <w:r>
              <w:rPr>
                <w:noProof/>
                <w:webHidden/>
              </w:rPr>
              <w:fldChar w:fldCharType="separate"/>
            </w:r>
            <w:r w:rsidR="009823ED">
              <w:rPr>
                <w:noProof/>
                <w:webHidden/>
              </w:rPr>
              <w:t>9</w:t>
            </w:r>
            <w:r>
              <w:rPr>
                <w:noProof/>
                <w:webHidden/>
              </w:rPr>
              <w:fldChar w:fldCharType="end"/>
            </w:r>
          </w:hyperlink>
        </w:p>
        <w:p w14:paraId="48C9D852" w14:textId="60C7497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Pr="005C0188">
              <w:rPr>
                <w:rStyle w:val="Hipervnculo"/>
                <w:rFonts w:cstheme="minorHAnsi"/>
                <w:b/>
                <w:noProof/>
              </w:rPr>
              <w:t>8. Fideicomisos, Mandatos y Análogos:</w:t>
            </w:r>
            <w:r>
              <w:rPr>
                <w:noProof/>
                <w:webHidden/>
              </w:rPr>
              <w:tab/>
            </w:r>
            <w:r>
              <w:rPr>
                <w:noProof/>
                <w:webHidden/>
              </w:rPr>
              <w:fldChar w:fldCharType="begin"/>
            </w:r>
            <w:r>
              <w:rPr>
                <w:noProof/>
                <w:webHidden/>
              </w:rPr>
              <w:instrText xml:space="preserve"> PAGEREF _Toc161472873 \h </w:instrText>
            </w:r>
            <w:r>
              <w:rPr>
                <w:noProof/>
                <w:webHidden/>
              </w:rPr>
            </w:r>
            <w:r>
              <w:rPr>
                <w:noProof/>
                <w:webHidden/>
              </w:rPr>
              <w:fldChar w:fldCharType="separate"/>
            </w:r>
            <w:r w:rsidR="009823ED">
              <w:rPr>
                <w:noProof/>
                <w:webHidden/>
              </w:rPr>
              <w:t>11</w:t>
            </w:r>
            <w:r>
              <w:rPr>
                <w:noProof/>
                <w:webHidden/>
              </w:rPr>
              <w:fldChar w:fldCharType="end"/>
            </w:r>
          </w:hyperlink>
        </w:p>
        <w:p w14:paraId="027C97E3" w14:textId="29611AD8"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Pr="005C0188">
              <w:rPr>
                <w:rStyle w:val="Hipervnculo"/>
                <w:rFonts w:cstheme="minorHAnsi"/>
                <w:b/>
                <w:noProof/>
              </w:rPr>
              <w:t>9. Reporte de la Recaudación:</w:t>
            </w:r>
            <w:r>
              <w:rPr>
                <w:noProof/>
                <w:webHidden/>
              </w:rPr>
              <w:tab/>
            </w:r>
            <w:r>
              <w:rPr>
                <w:noProof/>
                <w:webHidden/>
              </w:rPr>
              <w:fldChar w:fldCharType="begin"/>
            </w:r>
            <w:r>
              <w:rPr>
                <w:noProof/>
                <w:webHidden/>
              </w:rPr>
              <w:instrText xml:space="preserve"> PAGEREF _Toc161472874 \h </w:instrText>
            </w:r>
            <w:r>
              <w:rPr>
                <w:noProof/>
                <w:webHidden/>
              </w:rPr>
            </w:r>
            <w:r>
              <w:rPr>
                <w:noProof/>
                <w:webHidden/>
              </w:rPr>
              <w:fldChar w:fldCharType="separate"/>
            </w:r>
            <w:r w:rsidR="009823ED">
              <w:rPr>
                <w:noProof/>
                <w:webHidden/>
              </w:rPr>
              <w:t>12</w:t>
            </w:r>
            <w:r>
              <w:rPr>
                <w:noProof/>
                <w:webHidden/>
              </w:rPr>
              <w:fldChar w:fldCharType="end"/>
            </w:r>
          </w:hyperlink>
        </w:p>
        <w:p w14:paraId="00DB87A1" w14:textId="40D5D1F2"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Pr="005C0188">
              <w:rPr>
                <w:rStyle w:val="Hipervnculo"/>
                <w:rFonts w:cstheme="minorHAnsi"/>
                <w:b/>
                <w:noProof/>
              </w:rPr>
              <w:t>10. Información sobre la Deuda y el Reporte Analítico de la Deuda:</w:t>
            </w:r>
            <w:r>
              <w:rPr>
                <w:noProof/>
                <w:webHidden/>
              </w:rPr>
              <w:tab/>
            </w:r>
            <w:r>
              <w:rPr>
                <w:noProof/>
                <w:webHidden/>
              </w:rPr>
              <w:fldChar w:fldCharType="begin"/>
            </w:r>
            <w:r>
              <w:rPr>
                <w:noProof/>
                <w:webHidden/>
              </w:rPr>
              <w:instrText xml:space="preserve"> PAGEREF _Toc161472875 \h </w:instrText>
            </w:r>
            <w:r>
              <w:rPr>
                <w:noProof/>
                <w:webHidden/>
              </w:rPr>
            </w:r>
            <w:r>
              <w:rPr>
                <w:noProof/>
                <w:webHidden/>
              </w:rPr>
              <w:fldChar w:fldCharType="separate"/>
            </w:r>
            <w:r w:rsidR="009823ED">
              <w:rPr>
                <w:noProof/>
                <w:webHidden/>
              </w:rPr>
              <w:t>12</w:t>
            </w:r>
            <w:r>
              <w:rPr>
                <w:noProof/>
                <w:webHidden/>
              </w:rPr>
              <w:fldChar w:fldCharType="end"/>
            </w:r>
          </w:hyperlink>
        </w:p>
        <w:p w14:paraId="00EEECC2" w14:textId="77AE6918"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Pr="005C0188">
              <w:rPr>
                <w:rStyle w:val="Hipervnculo"/>
                <w:rFonts w:cstheme="minorHAnsi"/>
                <w:b/>
                <w:noProof/>
              </w:rPr>
              <w:t>11. Calificaciones otorgadas:</w:t>
            </w:r>
            <w:r>
              <w:rPr>
                <w:noProof/>
                <w:webHidden/>
              </w:rPr>
              <w:tab/>
            </w:r>
            <w:r>
              <w:rPr>
                <w:noProof/>
                <w:webHidden/>
              </w:rPr>
              <w:fldChar w:fldCharType="begin"/>
            </w:r>
            <w:r>
              <w:rPr>
                <w:noProof/>
                <w:webHidden/>
              </w:rPr>
              <w:instrText xml:space="preserve"> PAGEREF _Toc161472876 \h </w:instrText>
            </w:r>
            <w:r>
              <w:rPr>
                <w:noProof/>
                <w:webHidden/>
              </w:rPr>
            </w:r>
            <w:r>
              <w:rPr>
                <w:noProof/>
                <w:webHidden/>
              </w:rPr>
              <w:fldChar w:fldCharType="separate"/>
            </w:r>
            <w:r w:rsidR="009823ED">
              <w:rPr>
                <w:noProof/>
                <w:webHidden/>
              </w:rPr>
              <w:t>12</w:t>
            </w:r>
            <w:r>
              <w:rPr>
                <w:noProof/>
                <w:webHidden/>
              </w:rPr>
              <w:fldChar w:fldCharType="end"/>
            </w:r>
          </w:hyperlink>
        </w:p>
        <w:p w14:paraId="68FD7A9A" w14:textId="77A4AAD8"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Pr="005C0188">
              <w:rPr>
                <w:rStyle w:val="Hipervnculo"/>
                <w:rFonts w:cstheme="minorHAnsi"/>
                <w:b/>
                <w:noProof/>
              </w:rPr>
              <w:t>12. Proceso de Mejora:</w:t>
            </w:r>
            <w:r>
              <w:rPr>
                <w:noProof/>
                <w:webHidden/>
              </w:rPr>
              <w:tab/>
            </w:r>
            <w:r>
              <w:rPr>
                <w:noProof/>
                <w:webHidden/>
              </w:rPr>
              <w:fldChar w:fldCharType="begin"/>
            </w:r>
            <w:r>
              <w:rPr>
                <w:noProof/>
                <w:webHidden/>
              </w:rPr>
              <w:instrText xml:space="preserve"> PAGEREF _Toc161472877 \h </w:instrText>
            </w:r>
            <w:r>
              <w:rPr>
                <w:noProof/>
                <w:webHidden/>
              </w:rPr>
            </w:r>
            <w:r>
              <w:rPr>
                <w:noProof/>
                <w:webHidden/>
              </w:rPr>
              <w:fldChar w:fldCharType="separate"/>
            </w:r>
            <w:r w:rsidR="009823ED">
              <w:rPr>
                <w:noProof/>
                <w:webHidden/>
              </w:rPr>
              <w:t>13</w:t>
            </w:r>
            <w:r>
              <w:rPr>
                <w:noProof/>
                <w:webHidden/>
              </w:rPr>
              <w:fldChar w:fldCharType="end"/>
            </w:r>
          </w:hyperlink>
        </w:p>
        <w:p w14:paraId="5F55527F" w14:textId="0B141E42"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Pr="005C0188">
              <w:rPr>
                <w:rStyle w:val="Hipervnculo"/>
                <w:rFonts w:cstheme="minorHAnsi"/>
                <w:b/>
                <w:noProof/>
              </w:rPr>
              <w:t>13. Información por Segmentos:</w:t>
            </w:r>
            <w:r>
              <w:rPr>
                <w:noProof/>
                <w:webHidden/>
              </w:rPr>
              <w:tab/>
            </w:r>
            <w:r>
              <w:rPr>
                <w:noProof/>
                <w:webHidden/>
              </w:rPr>
              <w:fldChar w:fldCharType="begin"/>
            </w:r>
            <w:r>
              <w:rPr>
                <w:noProof/>
                <w:webHidden/>
              </w:rPr>
              <w:instrText xml:space="preserve"> PAGEREF _Toc161472878 \h </w:instrText>
            </w:r>
            <w:r>
              <w:rPr>
                <w:noProof/>
                <w:webHidden/>
              </w:rPr>
            </w:r>
            <w:r>
              <w:rPr>
                <w:noProof/>
                <w:webHidden/>
              </w:rPr>
              <w:fldChar w:fldCharType="separate"/>
            </w:r>
            <w:r w:rsidR="009823ED">
              <w:rPr>
                <w:noProof/>
                <w:webHidden/>
              </w:rPr>
              <w:t>13</w:t>
            </w:r>
            <w:r>
              <w:rPr>
                <w:noProof/>
                <w:webHidden/>
              </w:rPr>
              <w:fldChar w:fldCharType="end"/>
            </w:r>
          </w:hyperlink>
        </w:p>
        <w:p w14:paraId="674ABB69" w14:textId="3A41A43B"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Pr="005C0188">
              <w:rPr>
                <w:rStyle w:val="Hipervnculo"/>
                <w:rFonts w:cstheme="minorHAnsi"/>
                <w:b/>
                <w:noProof/>
              </w:rPr>
              <w:t>14. Eventos Posteriores al Cierre:</w:t>
            </w:r>
            <w:r>
              <w:rPr>
                <w:noProof/>
                <w:webHidden/>
              </w:rPr>
              <w:tab/>
            </w:r>
            <w:r>
              <w:rPr>
                <w:noProof/>
                <w:webHidden/>
              </w:rPr>
              <w:fldChar w:fldCharType="begin"/>
            </w:r>
            <w:r>
              <w:rPr>
                <w:noProof/>
                <w:webHidden/>
              </w:rPr>
              <w:instrText xml:space="preserve"> PAGEREF _Toc161472879 \h </w:instrText>
            </w:r>
            <w:r>
              <w:rPr>
                <w:noProof/>
                <w:webHidden/>
              </w:rPr>
            </w:r>
            <w:r>
              <w:rPr>
                <w:noProof/>
                <w:webHidden/>
              </w:rPr>
              <w:fldChar w:fldCharType="separate"/>
            </w:r>
            <w:r w:rsidR="009823ED">
              <w:rPr>
                <w:noProof/>
                <w:webHidden/>
              </w:rPr>
              <w:t>14</w:t>
            </w:r>
            <w:r>
              <w:rPr>
                <w:noProof/>
                <w:webHidden/>
              </w:rPr>
              <w:fldChar w:fldCharType="end"/>
            </w:r>
          </w:hyperlink>
        </w:p>
        <w:p w14:paraId="39048CDA" w14:textId="39D81042"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Pr="005C0188">
              <w:rPr>
                <w:rStyle w:val="Hipervnculo"/>
                <w:rFonts w:cstheme="minorHAnsi"/>
                <w:b/>
                <w:noProof/>
              </w:rPr>
              <w:t>15. Partes Relacionadas:</w:t>
            </w:r>
            <w:r>
              <w:rPr>
                <w:noProof/>
                <w:webHidden/>
              </w:rPr>
              <w:tab/>
            </w:r>
            <w:r>
              <w:rPr>
                <w:noProof/>
                <w:webHidden/>
              </w:rPr>
              <w:fldChar w:fldCharType="begin"/>
            </w:r>
            <w:r>
              <w:rPr>
                <w:noProof/>
                <w:webHidden/>
              </w:rPr>
              <w:instrText xml:space="preserve"> PAGEREF _Toc161472880 \h </w:instrText>
            </w:r>
            <w:r>
              <w:rPr>
                <w:noProof/>
                <w:webHidden/>
              </w:rPr>
            </w:r>
            <w:r>
              <w:rPr>
                <w:noProof/>
                <w:webHidden/>
              </w:rPr>
              <w:fldChar w:fldCharType="separate"/>
            </w:r>
            <w:r w:rsidR="009823ED">
              <w:rPr>
                <w:noProof/>
                <w:webHidden/>
              </w:rPr>
              <w:t>14</w:t>
            </w:r>
            <w:r>
              <w:rPr>
                <w:noProof/>
                <w:webHidden/>
              </w:rPr>
              <w:fldChar w:fldCharType="end"/>
            </w:r>
          </w:hyperlink>
        </w:p>
        <w:p w14:paraId="7E9C5BA3" w14:textId="3147AFB9"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Pr="005C0188">
              <w:rPr>
                <w:rStyle w:val="Hipervnculo"/>
                <w:rFonts w:cstheme="minorHAnsi"/>
                <w:b/>
                <w:noProof/>
              </w:rPr>
              <w:t>16. Responsabilidad Sobre la Presentación Razonable de la Información Contable:</w:t>
            </w:r>
            <w:r>
              <w:rPr>
                <w:noProof/>
                <w:webHidden/>
              </w:rPr>
              <w:tab/>
            </w:r>
            <w:r>
              <w:rPr>
                <w:noProof/>
                <w:webHidden/>
              </w:rPr>
              <w:fldChar w:fldCharType="begin"/>
            </w:r>
            <w:r>
              <w:rPr>
                <w:noProof/>
                <w:webHidden/>
              </w:rPr>
              <w:instrText xml:space="preserve"> PAGEREF _Toc161472881 \h </w:instrText>
            </w:r>
            <w:r>
              <w:rPr>
                <w:noProof/>
                <w:webHidden/>
              </w:rPr>
            </w:r>
            <w:r>
              <w:rPr>
                <w:noProof/>
                <w:webHidden/>
              </w:rPr>
              <w:fldChar w:fldCharType="separate"/>
            </w:r>
            <w:r w:rsidR="009823ED">
              <w:rPr>
                <w:noProof/>
                <w:webHidden/>
              </w:rPr>
              <w:t>14</w:t>
            </w:r>
            <w:r>
              <w:rPr>
                <w:noProof/>
                <w:webHidden/>
              </w:rPr>
              <w:fldChar w:fldCharType="end"/>
            </w:r>
          </w:hyperlink>
        </w:p>
        <w:p w14:paraId="43551857" w14:textId="4F747141" w:rsidR="00F46719" w:rsidRDefault="00F46719">
          <w:r>
            <w:rPr>
              <w:b/>
              <w:bCs/>
              <w:lang w:val="es-ES"/>
            </w:rPr>
            <w:lastRenderedPageBreak/>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7CED1DEC" w14:textId="77777777" w:rsidR="0016766C" w:rsidRDefault="0016766C" w:rsidP="0016766C">
      <w:pPr>
        <w:jc w:val="both"/>
        <w:rPr>
          <w:rFonts w:ascii="Arial" w:hAnsi="Arial" w:cs="Arial"/>
          <w:sz w:val="20"/>
          <w:szCs w:val="20"/>
          <w:u w:val="single"/>
        </w:rPr>
      </w:pPr>
      <w:r>
        <w:rPr>
          <w:rFonts w:ascii="Arial" w:hAnsi="Arial" w:cs="Arial"/>
          <w:sz w:val="20"/>
          <w:szCs w:val="20"/>
          <w:u w:val="single"/>
        </w:rPr>
        <w:t xml:space="preserve">El 22 de Julio de 1983 se creó para la prestación de los servicios públicos de agua potable, alcantarillado, saneamiento y tratamiento de aguas residuales en el Municipio de San Francisco del Rincón, Guanajuato un Organismo Público Descentralizado de la Administración Municipal con personalidad jurídica y patrimonio propios, el cual se denomina “Sistema de agua Potable y Alcantarillado de San Francisco” y/o S.A.P.A.F.   </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1C3B568A" w14:textId="77777777" w:rsidR="0089716C" w:rsidRPr="00E74967" w:rsidRDefault="0089716C" w:rsidP="00CB41C4">
      <w:pPr>
        <w:tabs>
          <w:tab w:val="left" w:leader="underscore" w:pos="9639"/>
        </w:tabs>
        <w:spacing w:after="0" w:line="240" w:lineRule="auto"/>
        <w:jc w:val="both"/>
        <w:rPr>
          <w:rFonts w:cs="Calibri"/>
        </w:rPr>
      </w:pPr>
    </w:p>
    <w:p w14:paraId="35CAAABD" w14:textId="77777777" w:rsidR="0016766C" w:rsidRDefault="0016766C" w:rsidP="0016766C">
      <w:pPr>
        <w:jc w:val="both"/>
        <w:rPr>
          <w:rFonts w:ascii="Arial" w:hAnsi="Arial" w:cs="Arial"/>
          <w:sz w:val="20"/>
          <w:szCs w:val="20"/>
          <w:u w:val="single"/>
        </w:rPr>
      </w:pPr>
      <w:r>
        <w:rPr>
          <w:rFonts w:ascii="Arial" w:hAnsi="Arial" w:cs="Arial"/>
          <w:sz w:val="20"/>
          <w:szCs w:val="20"/>
          <w:u w:val="single"/>
        </w:rPr>
        <w:t xml:space="preserve">Inicialmente este Organismo operador solo contaba con dos Direcciones la General y Técnica a principios del año de 2009 se crearon adicionalmente las Direcciones de Administración, Comercial y Finanzas, esto con la finalidad de delimitar y estructurar las funciones de cada una de las áreas. Para el ejercicio fiscal de 2013 se realizó un pequeño cambio en la estructura del Organismo Operador, debido a que las Direcciones de Administración y la Dirección de Finanzas se fusionaron en una sola y desde esta fecha en el Organismo se vienen manejando un total de cuatro Direcciones y que son; General, Técnica y Operativa, Administración y Finanzas y Comercial. A finales del ejercicio fiscal de 2014 el organigrama está conformado de la siguiente manera: Dirección General, Gerencia Técnica y Operativa, Gerencia de Administración y Finanzas y la Gerencia Comercial. </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79B9D6A7" w14:textId="77777777" w:rsidR="00EA40D0" w:rsidRPr="00E74967" w:rsidRDefault="00EA40D0" w:rsidP="00EA40D0">
      <w:pPr>
        <w:tabs>
          <w:tab w:val="left" w:leader="underscore" w:pos="9639"/>
        </w:tabs>
        <w:spacing w:after="0" w:line="240" w:lineRule="auto"/>
        <w:jc w:val="both"/>
        <w:rPr>
          <w:rFonts w:cs="Calibri"/>
        </w:rPr>
      </w:pPr>
    </w:p>
    <w:p w14:paraId="696CBFA0" w14:textId="5748A4FB" w:rsidR="00EA40D0" w:rsidRDefault="005F7EDE" w:rsidP="00EA40D0">
      <w:pPr>
        <w:jc w:val="both"/>
        <w:rPr>
          <w:rFonts w:ascii="Arial" w:hAnsi="Arial" w:cs="Arial"/>
          <w:sz w:val="20"/>
          <w:szCs w:val="20"/>
          <w:u w:val="single"/>
        </w:rPr>
      </w:pPr>
      <w:r>
        <w:rPr>
          <w:rFonts w:ascii="Arial" w:hAnsi="Arial" w:cs="Arial"/>
          <w:sz w:val="20"/>
          <w:szCs w:val="20"/>
          <w:u w:val="single"/>
        </w:rPr>
        <w:t>El arranque del ejercicio fiscal</w:t>
      </w:r>
      <w:r w:rsidR="00EA40D0">
        <w:rPr>
          <w:rFonts w:ascii="Arial" w:hAnsi="Arial" w:cs="Arial"/>
          <w:sz w:val="20"/>
          <w:szCs w:val="20"/>
          <w:u w:val="single"/>
        </w:rPr>
        <w:t xml:space="preserve"> 202</w:t>
      </w:r>
      <w:r>
        <w:rPr>
          <w:rFonts w:ascii="Arial" w:hAnsi="Arial" w:cs="Arial"/>
          <w:sz w:val="20"/>
          <w:szCs w:val="20"/>
          <w:u w:val="single"/>
        </w:rPr>
        <w:t>5</w:t>
      </w:r>
      <w:r w:rsidR="00EA40D0">
        <w:rPr>
          <w:rFonts w:ascii="Arial" w:hAnsi="Arial" w:cs="Arial"/>
          <w:sz w:val="20"/>
          <w:szCs w:val="20"/>
          <w:u w:val="single"/>
        </w:rPr>
        <w:t xml:space="preserve"> </w:t>
      </w:r>
      <w:r>
        <w:rPr>
          <w:rFonts w:ascii="Arial" w:hAnsi="Arial" w:cs="Arial"/>
          <w:sz w:val="20"/>
          <w:szCs w:val="20"/>
          <w:u w:val="single"/>
        </w:rPr>
        <w:t>ha presentado ciertas condiciones inciertas en</w:t>
      </w:r>
      <w:r w:rsidR="0016766C">
        <w:rPr>
          <w:rFonts w:ascii="Arial" w:hAnsi="Arial" w:cs="Arial"/>
          <w:sz w:val="20"/>
          <w:szCs w:val="20"/>
          <w:u w:val="single"/>
        </w:rPr>
        <w:t xml:space="preserve"> las condiciones macroeconómicas </w:t>
      </w:r>
      <w:r w:rsidR="00EA40D0">
        <w:rPr>
          <w:rFonts w:ascii="Arial" w:hAnsi="Arial" w:cs="Arial"/>
          <w:sz w:val="20"/>
          <w:szCs w:val="20"/>
          <w:u w:val="single"/>
        </w:rPr>
        <w:t xml:space="preserve">y financieras del país </w:t>
      </w:r>
      <w:r w:rsidR="0016766C">
        <w:rPr>
          <w:rFonts w:ascii="Arial" w:hAnsi="Arial" w:cs="Arial"/>
          <w:sz w:val="20"/>
          <w:szCs w:val="20"/>
          <w:u w:val="single"/>
        </w:rPr>
        <w:t>ya que</w:t>
      </w:r>
      <w:r>
        <w:rPr>
          <w:rFonts w:ascii="Arial" w:hAnsi="Arial" w:cs="Arial"/>
          <w:sz w:val="20"/>
          <w:szCs w:val="20"/>
          <w:u w:val="single"/>
        </w:rPr>
        <w:t xml:space="preserve"> existen factores externos que amenazan la estabilidad que había tenido el país en los últimos años, siendo estas la actual </w:t>
      </w:r>
      <w:r w:rsidR="00C04E8B">
        <w:rPr>
          <w:rFonts w:ascii="Arial" w:hAnsi="Arial" w:cs="Arial"/>
          <w:sz w:val="20"/>
          <w:szCs w:val="20"/>
          <w:u w:val="single"/>
        </w:rPr>
        <w:t>relación</w:t>
      </w:r>
      <w:r>
        <w:rPr>
          <w:rFonts w:ascii="Arial" w:hAnsi="Arial" w:cs="Arial"/>
          <w:sz w:val="20"/>
          <w:szCs w:val="20"/>
          <w:u w:val="single"/>
        </w:rPr>
        <w:t xml:space="preserve"> comercial con Estados Unidos de</w:t>
      </w:r>
      <w:r w:rsidR="00C04E8B">
        <w:rPr>
          <w:rFonts w:ascii="Arial" w:hAnsi="Arial" w:cs="Arial"/>
          <w:sz w:val="20"/>
          <w:szCs w:val="20"/>
          <w:u w:val="single"/>
        </w:rPr>
        <w:t xml:space="preserve"> América</w:t>
      </w:r>
      <w:r>
        <w:rPr>
          <w:rFonts w:ascii="Arial" w:hAnsi="Arial" w:cs="Arial"/>
          <w:sz w:val="20"/>
          <w:szCs w:val="20"/>
          <w:u w:val="single"/>
        </w:rPr>
        <w:t xml:space="preserve">. Por lo que respecta al cierre económico del ejercicio </w:t>
      </w:r>
      <w:r w:rsidR="0016766C">
        <w:rPr>
          <w:rFonts w:ascii="Arial" w:hAnsi="Arial" w:cs="Arial"/>
          <w:sz w:val="20"/>
          <w:szCs w:val="20"/>
          <w:u w:val="single"/>
        </w:rPr>
        <w:t>202</w:t>
      </w:r>
      <w:r>
        <w:rPr>
          <w:rFonts w:ascii="Arial" w:hAnsi="Arial" w:cs="Arial"/>
          <w:sz w:val="20"/>
          <w:szCs w:val="20"/>
          <w:u w:val="single"/>
        </w:rPr>
        <w:t>4</w:t>
      </w:r>
      <w:r w:rsidR="0016766C" w:rsidRPr="0016766C">
        <w:rPr>
          <w:rFonts w:ascii="Arial" w:hAnsi="Arial" w:cs="Arial"/>
          <w:color w:val="1F1F1F"/>
          <w:sz w:val="30"/>
          <w:szCs w:val="30"/>
          <w:shd w:val="clear" w:color="auto" w:fill="FFFFFF"/>
        </w:rPr>
        <w:t xml:space="preserve"> </w:t>
      </w:r>
      <w:r w:rsidR="0016766C" w:rsidRPr="0016766C">
        <w:rPr>
          <w:rFonts w:ascii="Arial" w:hAnsi="Arial" w:cs="Arial"/>
          <w:sz w:val="20"/>
          <w:szCs w:val="20"/>
          <w:u w:val="single"/>
        </w:rPr>
        <w:t>el INPC registró un incremento de 0.</w:t>
      </w:r>
      <w:r w:rsidR="00C04E8B">
        <w:rPr>
          <w:rFonts w:ascii="Arial" w:hAnsi="Arial" w:cs="Arial"/>
          <w:sz w:val="20"/>
          <w:szCs w:val="20"/>
          <w:u w:val="single"/>
        </w:rPr>
        <w:t>38</w:t>
      </w:r>
      <w:r w:rsidR="0016766C" w:rsidRPr="0016766C">
        <w:rPr>
          <w:rFonts w:ascii="Arial" w:hAnsi="Arial" w:cs="Arial"/>
          <w:sz w:val="20"/>
          <w:szCs w:val="20"/>
          <w:u w:val="single"/>
        </w:rPr>
        <w:t xml:space="preserve"> % respecto al mes anterior. Con este resultado, la inflación general anual se ubicó en 4.</w:t>
      </w:r>
      <w:r w:rsidR="00C04E8B">
        <w:rPr>
          <w:rFonts w:ascii="Arial" w:hAnsi="Arial" w:cs="Arial"/>
          <w:sz w:val="20"/>
          <w:szCs w:val="20"/>
          <w:u w:val="single"/>
        </w:rPr>
        <w:t>21</w:t>
      </w:r>
      <w:r w:rsidR="0016766C" w:rsidRPr="0016766C">
        <w:rPr>
          <w:rFonts w:ascii="Arial" w:hAnsi="Arial" w:cs="Arial"/>
          <w:sz w:val="20"/>
          <w:szCs w:val="20"/>
          <w:u w:val="single"/>
        </w:rPr>
        <w:t xml:space="preserve"> por ciento. En </w:t>
      </w:r>
      <w:r w:rsidR="002A758E">
        <w:rPr>
          <w:rFonts w:ascii="Arial" w:hAnsi="Arial" w:cs="Arial"/>
          <w:sz w:val="20"/>
          <w:szCs w:val="20"/>
          <w:u w:val="single"/>
        </w:rPr>
        <w:t>lo que respecta a la proyección del índice inflacionario para el ejercicio 2025 se espera que no supere el 4% anual.</w:t>
      </w:r>
      <w:r w:rsidR="0016766C">
        <w:rPr>
          <w:rFonts w:ascii="Arial" w:hAnsi="Arial" w:cs="Arial"/>
          <w:color w:val="1F1F1F"/>
          <w:sz w:val="30"/>
          <w:szCs w:val="30"/>
          <w:shd w:val="clear" w:color="auto" w:fill="FFFFFF"/>
        </w:rPr>
        <w:t xml:space="preserve"> </w:t>
      </w:r>
      <w:r w:rsidR="0016766C">
        <w:rPr>
          <w:rFonts w:ascii="Arial" w:hAnsi="Arial" w:cs="Arial"/>
          <w:sz w:val="20"/>
          <w:szCs w:val="20"/>
          <w:u w:val="single"/>
        </w:rPr>
        <w:t>Por lo anterior</w:t>
      </w:r>
      <w:r w:rsidR="00C04E8B">
        <w:rPr>
          <w:rFonts w:ascii="Arial" w:hAnsi="Arial" w:cs="Arial"/>
          <w:sz w:val="20"/>
          <w:szCs w:val="20"/>
          <w:u w:val="single"/>
        </w:rPr>
        <w:t>,</w:t>
      </w:r>
      <w:r w:rsidR="0016766C">
        <w:rPr>
          <w:rFonts w:ascii="Arial" w:hAnsi="Arial" w:cs="Arial"/>
          <w:sz w:val="20"/>
          <w:szCs w:val="20"/>
          <w:u w:val="single"/>
        </w:rPr>
        <w:t xml:space="preserve"> se</w:t>
      </w:r>
      <w:r w:rsidR="00C04E8B">
        <w:rPr>
          <w:rFonts w:ascii="Arial" w:hAnsi="Arial" w:cs="Arial"/>
          <w:sz w:val="20"/>
          <w:szCs w:val="20"/>
          <w:u w:val="single"/>
        </w:rPr>
        <w:t xml:space="preserve"> espera que la </w:t>
      </w:r>
      <w:r w:rsidR="0016766C">
        <w:rPr>
          <w:rFonts w:ascii="Arial" w:hAnsi="Arial" w:cs="Arial"/>
          <w:sz w:val="20"/>
          <w:szCs w:val="20"/>
          <w:u w:val="single"/>
        </w:rPr>
        <w:t>recauda</w:t>
      </w:r>
      <w:r w:rsidR="00C04E8B">
        <w:rPr>
          <w:rFonts w:ascii="Arial" w:hAnsi="Arial" w:cs="Arial"/>
          <w:sz w:val="20"/>
          <w:szCs w:val="20"/>
          <w:u w:val="single"/>
        </w:rPr>
        <w:t xml:space="preserve">ción rebase el pronóstico </w:t>
      </w:r>
      <w:r w:rsidR="00A46597">
        <w:rPr>
          <w:rFonts w:ascii="Arial" w:hAnsi="Arial" w:cs="Arial"/>
          <w:sz w:val="20"/>
          <w:szCs w:val="20"/>
          <w:u w:val="single"/>
        </w:rPr>
        <w:t>inicial,</w:t>
      </w:r>
      <w:r w:rsidR="00C04E8B">
        <w:rPr>
          <w:rFonts w:ascii="Arial" w:hAnsi="Arial" w:cs="Arial"/>
          <w:sz w:val="20"/>
          <w:szCs w:val="20"/>
          <w:u w:val="single"/>
        </w:rPr>
        <w:t xml:space="preserve"> sin embargo, puede ser que no sea en los mismos niveles de los últimos años, por lo que habría que esperar al cierre </w:t>
      </w:r>
      <w:r w:rsidR="002A758E">
        <w:rPr>
          <w:rFonts w:ascii="Arial" w:hAnsi="Arial" w:cs="Arial"/>
          <w:sz w:val="20"/>
          <w:szCs w:val="20"/>
          <w:u w:val="single"/>
        </w:rPr>
        <w:t xml:space="preserve">año para </w:t>
      </w:r>
      <w:r w:rsidR="00C04E8B">
        <w:rPr>
          <w:rFonts w:ascii="Arial" w:hAnsi="Arial" w:cs="Arial"/>
          <w:sz w:val="20"/>
          <w:szCs w:val="20"/>
          <w:u w:val="single"/>
        </w:rPr>
        <w:t>visualizar su comportamiento</w:t>
      </w:r>
      <w:r w:rsidR="002A758E">
        <w:rPr>
          <w:rFonts w:ascii="Arial" w:hAnsi="Arial" w:cs="Arial"/>
          <w:sz w:val="20"/>
          <w:szCs w:val="20"/>
          <w:u w:val="single"/>
        </w:rPr>
        <w:t xml:space="preserve"> final</w:t>
      </w:r>
      <w:r w:rsidR="00C04E8B">
        <w:rPr>
          <w:rFonts w:ascii="Arial" w:hAnsi="Arial" w:cs="Arial"/>
          <w:sz w:val="20"/>
          <w:szCs w:val="20"/>
          <w:u w:val="single"/>
        </w:rPr>
        <w:t>.</w:t>
      </w: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B4B8F7" w14:textId="77777777" w:rsidR="0089716C" w:rsidRDefault="0089716C" w:rsidP="0089716C">
      <w:pPr>
        <w:jc w:val="both"/>
        <w:rPr>
          <w:rFonts w:ascii="Arial" w:hAnsi="Arial" w:cs="Arial"/>
          <w:sz w:val="20"/>
          <w:szCs w:val="20"/>
          <w:u w:val="single"/>
        </w:rPr>
      </w:pPr>
      <w:r>
        <w:rPr>
          <w:rFonts w:ascii="Arial" w:hAnsi="Arial" w:cs="Arial"/>
          <w:sz w:val="20"/>
          <w:szCs w:val="20"/>
          <w:u w:val="single"/>
        </w:rPr>
        <w:lastRenderedPageBreak/>
        <w:t>Prestación de servicios públicos de Agua Potable, Alcantarillado, Saneamiento y Tratamiento de Aguas Residuales en el Municipio de San Francisco del Rincón, Gto.</w:t>
      </w: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48230C62" w14:textId="77777777" w:rsidR="0089716C" w:rsidRDefault="0089716C" w:rsidP="0089716C">
      <w:pPr>
        <w:jc w:val="both"/>
        <w:rPr>
          <w:rFonts w:ascii="Arial" w:hAnsi="Arial" w:cs="Arial"/>
          <w:sz w:val="20"/>
          <w:szCs w:val="20"/>
          <w:u w:val="single"/>
        </w:rPr>
      </w:pPr>
      <w:r>
        <w:rPr>
          <w:rFonts w:ascii="Arial" w:hAnsi="Arial" w:cs="Arial"/>
          <w:sz w:val="20"/>
          <w:szCs w:val="20"/>
          <w:u w:val="single"/>
        </w:rPr>
        <w:t>Captación y Suministro de Agua Potable, prestación del servicio de Alcantarillado y Saneamiento.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16703E54" w14:textId="7D2F8DAE" w:rsidR="007D1E76" w:rsidRDefault="0089716C" w:rsidP="00CB41C4">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t>Enero a diciembre de 202</w:t>
      </w:r>
      <w:r w:rsidR="00DA1DB8">
        <w:rPr>
          <w:rFonts w:ascii="Times New Roman" w:hAnsi="Times New Roman"/>
          <w:sz w:val="24"/>
          <w:szCs w:val="24"/>
          <w:u w:val="single"/>
        </w:rPr>
        <w:t>5</w:t>
      </w:r>
    </w:p>
    <w:p w14:paraId="231CF7BD" w14:textId="77777777" w:rsidR="0089716C" w:rsidRPr="00E74967" w:rsidRDefault="0089716C"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5953003" w14:textId="77777777" w:rsidR="0089716C" w:rsidRDefault="0089716C" w:rsidP="0089716C">
      <w:pPr>
        <w:jc w:val="both"/>
        <w:rPr>
          <w:rFonts w:ascii="Arial" w:hAnsi="Arial" w:cs="Arial"/>
          <w:sz w:val="20"/>
          <w:szCs w:val="20"/>
          <w:u w:val="single"/>
        </w:rPr>
      </w:pPr>
      <w:r>
        <w:rPr>
          <w:rFonts w:ascii="Arial" w:hAnsi="Arial" w:cs="Arial"/>
          <w:sz w:val="20"/>
          <w:szCs w:val="20"/>
          <w:u w:val="single"/>
        </w:rPr>
        <w:t>Art.45 Ley Orgánica de la Administración Pública Federal, Art.14 al 27 Ley Federal de las Entidades Paraestatales (Organismo Público Descentralizado, con Patrimonio propio, Personal Moral creada sin Fines de Lucro).</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0EBAB8C0" w:rsidR="007D1E76" w:rsidRPr="00E74967" w:rsidRDefault="0089716C" w:rsidP="00CB41C4">
      <w:pPr>
        <w:tabs>
          <w:tab w:val="left" w:leader="underscore" w:pos="9639"/>
        </w:tabs>
        <w:spacing w:after="0" w:line="240" w:lineRule="auto"/>
        <w:jc w:val="both"/>
        <w:rPr>
          <w:rFonts w:cs="Calibri"/>
        </w:rPr>
      </w:pPr>
      <w:r>
        <w:rPr>
          <w:rFonts w:ascii="Arial" w:hAnsi="Arial" w:cs="Arial"/>
          <w:sz w:val="20"/>
          <w:szCs w:val="20"/>
          <w:u w:val="single"/>
        </w:rPr>
        <w:t xml:space="preserve">Retención del impuesto sobre la renta por sueldos y salarios, </w:t>
      </w:r>
      <w:r w:rsidR="00883304">
        <w:rPr>
          <w:rFonts w:ascii="Arial" w:hAnsi="Arial" w:cs="Arial"/>
          <w:sz w:val="20"/>
          <w:szCs w:val="20"/>
          <w:u w:val="single"/>
        </w:rPr>
        <w:t>r</w:t>
      </w:r>
      <w:r>
        <w:rPr>
          <w:rFonts w:ascii="Arial" w:hAnsi="Arial" w:cs="Arial"/>
          <w:sz w:val="20"/>
          <w:szCs w:val="20"/>
          <w:u w:val="single"/>
        </w:rPr>
        <w:t xml:space="preserve">etención del impuesto sobre la renta por servicios profesionales, </w:t>
      </w:r>
      <w:r w:rsidR="00883304">
        <w:rPr>
          <w:rFonts w:ascii="Arial" w:hAnsi="Arial" w:cs="Arial"/>
          <w:sz w:val="20"/>
          <w:szCs w:val="20"/>
          <w:u w:val="single"/>
        </w:rPr>
        <w:t>r</w:t>
      </w:r>
      <w:r>
        <w:rPr>
          <w:rFonts w:ascii="Arial" w:hAnsi="Arial" w:cs="Arial"/>
          <w:sz w:val="20"/>
          <w:szCs w:val="20"/>
          <w:u w:val="single"/>
        </w:rPr>
        <w:t xml:space="preserve">etención del impuesto sobre la renta por sueldos asimilados a salarios, </w:t>
      </w:r>
      <w:r w:rsidR="00883304">
        <w:rPr>
          <w:rFonts w:ascii="Arial" w:hAnsi="Arial" w:cs="Arial"/>
          <w:sz w:val="20"/>
          <w:szCs w:val="20"/>
          <w:u w:val="single"/>
        </w:rPr>
        <w:t>r</w:t>
      </w:r>
      <w:r>
        <w:rPr>
          <w:rFonts w:ascii="Arial" w:hAnsi="Arial" w:cs="Arial"/>
          <w:sz w:val="20"/>
          <w:szCs w:val="20"/>
          <w:u w:val="single"/>
        </w:rPr>
        <w:t>etención del impuesto sobre la renta por a cuenta de terceros o por arrendamiento, Retención del impuesto al valor agregado. Así también como la aplicación de retenciones estatales correspondientes.</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21DCE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9B0B53F" w:rsidR="007D1E76" w:rsidRDefault="0065324B" w:rsidP="00CB41C4">
      <w:pPr>
        <w:tabs>
          <w:tab w:val="left" w:leader="underscore" w:pos="9639"/>
        </w:tabs>
        <w:spacing w:after="0" w:line="240" w:lineRule="auto"/>
        <w:ind w:firstLine="708"/>
        <w:jc w:val="both"/>
        <w:rPr>
          <w:rFonts w:cs="Calibri"/>
        </w:rPr>
      </w:pPr>
      <w:r>
        <w:rPr>
          <w:noProof/>
        </w:rPr>
        <w:drawing>
          <wp:anchor distT="0" distB="0" distL="114300" distR="114300" simplePos="0" relativeHeight="251658240" behindDoc="0" locked="0" layoutInCell="1" allowOverlap="1" wp14:anchorId="68B29BF1" wp14:editId="601B6AEE">
            <wp:simplePos x="0" y="0"/>
            <wp:positionH relativeFrom="page">
              <wp:posOffset>962025</wp:posOffset>
            </wp:positionH>
            <wp:positionV relativeFrom="paragraph">
              <wp:posOffset>200660</wp:posOffset>
            </wp:positionV>
            <wp:extent cx="6036945" cy="3490595"/>
            <wp:effectExtent l="0" t="0" r="1905" b="0"/>
            <wp:wrapSquare wrapText="bothSides"/>
            <wp:docPr id="1256137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37473" name=""/>
                    <pic:cNvPicPr/>
                  </pic:nvPicPr>
                  <pic:blipFill rotWithShape="1">
                    <a:blip r:embed="rId12">
                      <a:extLst>
                        <a:ext uri="{28A0092B-C50C-407E-A947-70E740481C1C}">
                          <a14:useLocalDpi xmlns:a14="http://schemas.microsoft.com/office/drawing/2010/main" val="0"/>
                        </a:ext>
                      </a:extLst>
                    </a:blip>
                    <a:srcRect l="12540" t="13329" r="13919" b="11084"/>
                    <a:stretch/>
                  </pic:blipFill>
                  <pic:spPr bwMode="auto">
                    <a:xfrm>
                      <a:off x="0" y="0"/>
                      <a:ext cx="6036945" cy="349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E76" w:rsidRPr="00E74967">
        <w:rPr>
          <w:rFonts w:cs="Calibri"/>
        </w:rPr>
        <w:t>*Anexar organigrama de la entidad.</w:t>
      </w:r>
    </w:p>
    <w:p w14:paraId="398409B5" w14:textId="74A1AE82" w:rsidR="0065324B" w:rsidRDefault="0065324B"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46CE5ED8" wp14:editId="79885FA1">
            <wp:extent cx="5761968" cy="3244133"/>
            <wp:effectExtent l="0" t="0" r="0" b="0"/>
            <wp:docPr id="1681732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32325" name=""/>
                    <pic:cNvPicPr/>
                  </pic:nvPicPr>
                  <pic:blipFill rotWithShape="1">
                    <a:blip r:embed="rId13"/>
                    <a:srcRect l="11504" t="13097" r="11575" b="9918"/>
                    <a:stretch/>
                  </pic:blipFill>
                  <pic:spPr bwMode="auto">
                    <a:xfrm>
                      <a:off x="0" y="0"/>
                      <a:ext cx="5761968" cy="3244133"/>
                    </a:xfrm>
                    <a:prstGeom prst="rect">
                      <a:avLst/>
                    </a:prstGeom>
                    <a:ln>
                      <a:noFill/>
                    </a:ln>
                    <a:extLst>
                      <a:ext uri="{53640926-AAD7-44D8-BBD7-CCE9431645EC}">
                        <a14:shadowObscured xmlns:a14="http://schemas.microsoft.com/office/drawing/2010/main"/>
                      </a:ext>
                    </a:extLst>
                  </pic:spPr>
                </pic:pic>
              </a:graphicData>
            </a:graphic>
          </wp:inline>
        </w:drawing>
      </w:r>
    </w:p>
    <w:p w14:paraId="76E7000B" w14:textId="2D25C717" w:rsidR="0065324B" w:rsidRDefault="0065324B" w:rsidP="00CB41C4">
      <w:pPr>
        <w:tabs>
          <w:tab w:val="left" w:leader="underscore" w:pos="9639"/>
        </w:tabs>
        <w:spacing w:after="0" w:line="240" w:lineRule="auto"/>
        <w:ind w:firstLine="708"/>
        <w:jc w:val="both"/>
        <w:rPr>
          <w:rFonts w:cs="Calibri"/>
        </w:rPr>
      </w:pPr>
      <w:r>
        <w:rPr>
          <w:noProof/>
        </w:rPr>
        <w:drawing>
          <wp:inline distT="0" distB="0" distL="0" distR="0" wp14:anchorId="1D5393E6" wp14:editId="762665CA">
            <wp:extent cx="5838765" cy="3800723"/>
            <wp:effectExtent l="0" t="0" r="0" b="0"/>
            <wp:docPr id="1865331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31127" name=""/>
                    <pic:cNvPicPr/>
                  </pic:nvPicPr>
                  <pic:blipFill rotWithShape="1">
                    <a:blip r:embed="rId14"/>
                    <a:srcRect l="14994" t="14015" r="19084" b="9702"/>
                    <a:stretch/>
                  </pic:blipFill>
                  <pic:spPr bwMode="auto">
                    <a:xfrm>
                      <a:off x="0" y="0"/>
                      <a:ext cx="5860470" cy="3814852"/>
                    </a:xfrm>
                    <a:prstGeom prst="rect">
                      <a:avLst/>
                    </a:prstGeom>
                    <a:ln>
                      <a:noFill/>
                    </a:ln>
                    <a:extLst>
                      <a:ext uri="{53640926-AAD7-44D8-BBD7-CCE9431645EC}">
                        <a14:shadowObscured xmlns:a14="http://schemas.microsoft.com/office/drawing/2010/main"/>
                      </a:ext>
                    </a:extLst>
                  </pic:spPr>
                </pic:pic>
              </a:graphicData>
            </a:graphic>
          </wp:inline>
        </w:drawing>
      </w:r>
    </w:p>
    <w:p w14:paraId="3A9E3B95" w14:textId="622CC683" w:rsidR="005C1A52" w:rsidRDefault="0065324B"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6AC87437" wp14:editId="58C34EFB">
            <wp:extent cx="5486400" cy="3587095"/>
            <wp:effectExtent l="0" t="0" r="0" b="0"/>
            <wp:docPr id="1795479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79903" name=""/>
                    <pic:cNvPicPr/>
                  </pic:nvPicPr>
                  <pic:blipFill rotWithShape="1">
                    <a:blip r:embed="rId15"/>
                    <a:srcRect l="17276" t="13062" r="16461" b="9926"/>
                    <a:stretch/>
                  </pic:blipFill>
                  <pic:spPr bwMode="auto">
                    <a:xfrm>
                      <a:off x="0" y="0"/>
                      <a:ext cx="5505759" cy="3599752"/>
                    </a:xfrm>
                    <a:prstGeom prst="rect">
                      <a:avLst/>
                    </a:prstGeom>
                    <a:ln>
                      <a:noFill/>
                    </a:ln>
                    <a:extLst>
                      <a:ext uri="{53640926-AAD7-44D8-BBD7-CCE9431645EC}">
                        <a14:shadowObscured xmlns:a14="http://schemas.microsoft.com/office/drawing/2010/main"/>
                      </a:ext>
                    </a:extLst>
                  </pic:spPr>
                </pic:pic>
              </a:graphicData>
            </a:graphic>
          </wp:inline>
        </w:drawing>
      </w:r>
    </w:p>
    <w:p w14:paraId="0AF738D7" w14:textId="302E97D6" w:rsidR="005C1A52" w:rsidRDefault="005C1A52" w:rsidP="00CB41C4">
      <w:pPr>
        <w:tabs>
          <w:tab w:val="left" w:leader="underscore" w:pos="9639"/>
        </w:tabs>
        <w:spacing w:after="0" w:line="240" w:lineRule="auto"/>
        <w:ind w:firstLine="708"/>
        <w:jc w:val="both"/>
        <w:rPr>
          <w:rFonts w:cs="Calibri"/>
        </w:rPr>
      </w:pPr>
    </w:p>
    <w:p w14:paraId="782A5DF1" w14:textId="77777777" w:rsidR="005C1A52" w:rsidRDefault="005C1A52"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7DAA49BE" w14:textId="77777777" w:rsidR="0089716C" w:rsidRDefault="0089716C" w:rsidP="0089716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6D0AA1A" w14:textId="42634EB6" w:rsidR="00BF6A19" w:rsidRPr="00720315" w:rsidRDefault="00BF6A19" w:rsidP="0089716C">
      <w:pPr>
        <w:jc w:val="both"/>
        <w:rPr>
          <w:rFonts w:asciiTheme="minorHAnsi" w:hAnsiTheme="minorHAnsi" w:cstheme="minorHAnsi"/>
          <w:sz w:val="24"/>
          <w:szCs w:val="24"/>
          <w:u w:val="single"/>
        </w:rPr>
      </w:pPr>
      <w:r>
        <w:rPr>
          <w:rFonts w:cs="Calibri"/>
        </w:rPr>
        <w:t>Nota: No se cuenta con f</w:t>
      </w:r>
      <w:r w:rsidRPr="00396D53">
        <w:rPr>
          <w:rFonts w:cs="Calibri"/>
        </w:rPr>
        <w:t>ideicomisos de los cuales es fideicomitente o fideicomisario, y contratos análogos, incluyendo mandatos</w:t>
      </w:r>
      <w:r>
        <w:rPr>
          <w:rFonts w:cs="Calibri"/>
        </w:rPr>
        <w:t>.</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77A4BF6" w14:textId="00D1C13F" w:rsidR="003E3DFD" w:rsidRDefault="003E3DFD" w:rsidP="003E3DFD">
      <w:pPr>
        <w:jc w:val="both"/>
        <w:rPr>
          <w:rFonts w:ascii="Arial" w:hAnsi="Arial" w:cs="Arial"/>
          <w:sz w:val="20"/>
          <w:szCs w:val="20"/>
          <w:u w:val="single"/>
        </w:rPr>
      </w:pPr>
      <w:r>
        <w:rPr>
          <w:rFonts w:ascii="Arial" w:hAnsi="Arial" w:cs="Arial"/>
          <w:sz w:val="20"/>
          <w:szCs w:val="20"/>
          <w:u w:val="single"/>
        </w:rPr>
        <w:t xml:space="preserve">Actualmente se han observado e implementado las disposiciones emitidas por la CONAC y para su aplicación en este Organismo </w:t>
      </w:r>
      <w:r w:rsidR="00D6667A">
        <w:rPr>
          <w:rFonts w:ascii="Arial" w:hAnsi="Arial" w:cs="Arial"/>
          <w:sz w:val="20"/>
          <w:szCs w:val="20"/>
          <w:u w:val="single"/>
        </w:rPr>
        <w:t>operador,</w:t>
      </w:r>
      <w:r w:rsidR="008453AD">
        <w:rPr>
          <w:rFonts w:ascii="Arial" w:hAnsi="Arial" w:cs="Arial"/>
          <w:sz w:val="20"/>
          <w:szCs w:val="20"/>
          <w:u w:val="single"/>
        </w:rPr>
        <w:t xml:space="preserve"> así como también lo marcado por la Ley de Disciplina Financiera</w:t>
      </w:r>
      <w:r>
        <w:rPr>
          <w:rFonts w:ascii="Arial" w:hAnsi="Arial" w:cs="Arial"/>
          <w:sz w:val="20"/>
          <w:szCs w:val="20"/>
          <w:u w:val="single"/>
        </w:rPr>
        <w:t>.</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A57A73B" w14:textId="77777777" w:rsidR="003E3DFD" w:rsidRDefault="003E3DFD" w:rsidP="003E3DFD">
      <w:pPr>
        <w:jc w:val="both"/>
        <w:rPr>
          <w:rFonts w:ascii="Arial" w:hAnsi="Arial" w:cs="Arial"/>
          <w:sz w:val="20"/>
          <w:szCs w:val="20"/>
          <w:u w:val="single"/>
        </w:rPr>
      </w:pPr>
      <w:r>
        <w:rPr>
          <w:rFonts w:ascii="Arial" w:hAnsi="Arial" w:cs="Arial"/>
          <w:sz w:val="20"/>
          <w:szCs w:val="20"/>
          <w:u w:val="single"/>
        </w:rPr>
        <w:t xml:space="preserve">Actualmente el método utilizado para la evaluación de los inventarios es el de Promedios, el costo de los inventarios físicos de este organismo operador es el valor de realización, se optó por utilizar el método de valuación Promedios por la gran cantidad de materiales que se manejan en el Almacén. </w:t>
      </w:r>
    </w:p>
    <w:p w14:paraId="2DCF252C" w14:textId="77777777" w:rsidR="007D1E76" w:rsidRDefault="007D1E76" w:rsidP="00CB41C4">
      <w:pPr>
        <w:tabs>
          <w:tab w:val="left" w:leader="underscore" w:pos="9639"/>
        </w:tabs>
        <w:spacing w:after="0" w:line="240" w:lineRule="auto"/>
        <w:jc w:val="both"/>
        <w:rPr>
          <w:rFonts w:cs="Calibri"/>
        </w:rPr>
      </w:pPr>
    </w:p>
    <w:p w14:paraId="3A8A77C3" w14:textId="77777777" w:rsidR="00D93212" w:rsidRPr="00E74967" w:rsidRDefault="00D93212"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609F67D7" w14:textId="77777777" w:rsidR="003E3DFD" w:rsidRDefault="003E3DFD" w:rsidP="003E3DFD">
      <w:pPr>
        <w:jc w:val="both"/>
        <w:rPr>
          <w:rFonts w:ascii="Arial" w:hAnsi="Arial" w:cs="Arial"/>
          <w:sz w:val="20"/>
          <w:szCs w:val="20"/>
          <w:u w:val="single"/>
        </w:rPr>
      </w:pPr>
      <w:r>
        <w:rPr>
          <w:rFonts w:ascii="Arial" w:hAnsi="Arial" w:cs="Arial"/>
          <w:sz w:val="20"/>
          <w:szCs w:val="20"/>
          <w:u w:val="single"/>
        </w:rPr>
        <w:t>Se manejan los siguientes postulados básicos; *Sustancia económica, *Entes Públicos, *Existencia permanente, *Revelación suficiente, *Importancia relativa, *Registro e Integración presupuestaria, *Consolidación de la Información financiera, *Devengo contable, *Valuación, *Dualidad económica,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667A9358" w14:textId="77777777" w:rsidR="003E3DFD" w:rsidRPr="00720315" w:rsidRDefault="003E3DFD" w:rsidP="003E3DFD">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773924E" w14:textId="02C3788B" w:rsidR="003E3DFD" w:rsidRPr="00B444D7" w:rsidRDefault="00B444D7" w:rsidP="003E3DFD">
      <w:pPr>
        <w:tabs>
          <w:tab w:val="left" w:leader="underscore" w:pos="9639"/>
        </w:tabs>
        <w:spacing w:after="0" w:line="240" w:lineRule="auto"/>
        <w:jc w:val="both"/>
        <w:rPr>
          <w:rFonts w:cs="Calibri"/>
        </w:rPr>
      </w:pPr>
      <w:r>
        <w:rPr>
          <w:rFonts w:cs="Calibri"/>
        </w:rPr>
        <w:t xml:space="preserve">Nota: </w:t>
      </w:r>
      <w:r w:rsidR="003E3DFD" w:rsidRPr="00B444D7">
        <w:rPr>
          <w:rFonts w:cs="Calibri"/>
        </w:rPr>
        <w:t>Actualmente no aplicamos normatividad de manera supletoria.</w:t>
      </w:r>
    </w:p>
    <w:p w14:paraId="77C06D0F" w14:textId="77777777" w:rsidR="003E3DFD" w:rsidRPr="00E74967" w:rsidRDefault="003E3DFD" w:rsidP="003E3DFD">
      <w:pPr>
        <w:tabs>
          <w:tab w:val="left" w:leader="underscore" w:pos="9639"/>
        </w:tabs>
        <w:spacing w:after="0" w:line="240" w:lineRule="auto"/>
        <w:jc w:val="both"/>
        <w:rPr>
          <w:rFonts w:cs="Calibri"/>
        </w:rPr>
      </w:pP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Default="007D1E76" w:rsidP="00CB41C4">
      <w:pPr>
        <w:tabs>
          <w:tab w:val="left" w:leader="underscore" w:pos="9639"/>
        </w:tabs>
        <w:spacing w:after="0" w:line="240" w:lineRule="auto"/>
        <w:jc w:val="both"/>
        <w:rPr>
          <w:rFonts w:cs="Calibri"/>
        </w:rPr>
      </w:pPr>
    </w:p>
    <w:p w14:paraId="7535819B" w14:textId="77777777" w:rsidR="0047559F" w:rsidRDefault="0047559F" w:rsidP="00CB41C4">
      <w:pPr>
        <w:tabs>
          <w:tab w:val="left" w:leader="underscore" w:pos="9639"/>
        </w:tabs>
        <w:spacing w:after="0" w:line="240" w:lineRule="auto"/>
        <w:jc w:val="both"/>
        <w:rPr>
          <w:rFonts w:cs="Calibri"/>
        </w:rPr>
      </w:pPr>
      <w:r>
        <w:rPr>
          <w:rFonts w:cs="Calibri"/>
        </w:rPr>
        <w:t>Nota: Ya se usaba la base del devengado de los ingresos y gastos.</w:t>
      </w:r>
    </w:p>
    <w:p w14:paraId="425B64E0" w14:textId="14B4BFF9" w:rsidR="0047559F" w:rsidRPr="00E74967" w:rsidRDefault="0047559F" w:rsidP="00CB41C4">
      <w:pPr>
        <w:tabs>
          <w:tab w:val="left" w:leader="underscore" w:pos="9639"/>
        </w:tabs>
        <w:spacing w:after="0" w:line="240" w:lineRule="auto"/>
        <w:jc w:val="both"/>
        <w:rPr>
          <w:rFonts w:cs="Calibri"/>
        </w:rPr>
      </w:pPr>
      <w:r>
        <w:rPr>
          <w:rFonts w:cs="Calibri"/>
        </w:rPr>
        <w:t xml:space="preserve"> </w:t>
      </w: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D06FAE7" w14:textId="77777777" w:rsidR="004B6406" w:rsidRPr="00720315" w:rsidRDefault="004B6406" w:rsidP="004B6406">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26DE0BEC" w14:textId="77777777" w:rsidR="004B6406" w:rsidRPr="00720315" w:rsidRDefault="004B6406" w:rsidP="004B6406">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523398A" w14:textId="77777777" w:rsidR="005009CA" w:rsidRPr="00720315" w:rsidRDefault="005009CA" w:rsidP="005009CA">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0109EEB9" w14:textId="77777777" w:rsidR="005009CA" w:rsidRPr="00720315" w:rsidRDefault="005009CA" w:rsidP="005009CA">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5406045B" w14:textId="77777777" w:rsidR="005009CA" w:rsidRDefault="005009CA" w:rsidP="000C3365">
      <w:pPr>
        <w:pStyle w:val="Ttulo2"/>
        <w:rPr>
          <w:rFonts w:asciiTheme="minorHAnsi" w:hAnsiTheme="minorHAnsi" w:cstheme="minorHAnsi"/>
          <w:b/>
          <w:color w:val="auto"/>
          <w:sz w:val="22"/>
        </w:rPr>
      </w:pPr>
      <w:bookmarkStart w:id="4" w:name="_Toc161472870"/>
    </w:p>
    <w:p w14:paraId="7025E7E0" w14:textId="3AA12B47" w:rsidR="007D1E76" w:rsidRPr="00E74967" w:rsidRDefault="007F699D" w:rsidP="000C3365">
      <w:pPr>
        <w:pStyle w:val="Ttulo2"/>
        <w:rPr>
          <w:rFonts w:cs="Calibri"/>
          <w:b/>
        </w:rPr>
      </w:pPr>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1D2EBB0F" w14:textId="77777777" w:rsidR="001336BD" w:rsidRDefault="001336BD" w:rsidP="001336BD">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DA59B82" w14:textId="152C772F" w:rsidR="000D0B95" w:rsidRPr="00720315" w:rsidRDefault="000D0B95" w:rsidP="001336BD">
      <w:pPr>
        <w:jc w:val="both"/>
        <w:rPr>
          <w:rFonts w:asciiTheme="minorHAnsi" w:hAnsiTheme="minorHAnsi" w:cstheme="minorHAnsi"/>
          <w:sz w:val="24"/>
          <w:szCs w:val="24"/>
          <w:u w:val="single"/>
        </w:rPr>
      </w:pPr>
      <w:r>
        <w:rPr>
          <w:rFonts w:cs="Calibri"/>
        </w:rPr>
        <w:t>Nota: No se han realizados valuaciones de activos, pasivo o patrimonio.</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4D8CE0B5" w14:textId="77777777" w:rsidR="001336BD" w:rsidRDefault="001336BD" w:rsidP="001336BD">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5EEEF4F" w14:textId="31990D4B" w:rsidR="00F023F9" w:rsidRPr="00720315" w:rsidRDefault="00F023F9" w:rsidP="001336BD">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w:t>
      </w:r>
      <w:r w:rsidRPr="001C710C">
        <w:rPr>
          <w:rFonts w:cs="Calibri"/>
        </w:rPr>
        <w:t xml:space="preserve"> de operaciones en el extranjero</w:t>
      </w:r>
      <w:r>
        <w:rPr>
          <w:rFonts w:cs="Calibri"/>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55E1C88" w14:textId="77777777" w:rsidR="001336BD" w:rsidRDefault="001336BD" w:rsidP="001336BD">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B9A5517" w14:textId="0369A055" w:rsidR="002512D9" w:rsidRPr="00720315" w:rsidRDefault="002512D9" w:rsidP="001336BD">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 xml:space="preserve">do </w:t>
      </w:r>
      <w:r w:rsidRPr="00E9132F">
        <w:rPr>
          <w:rFonts w:cs="Calibri"/>
        </w:rPr>
        <w:t>inversión en acciones de Compañías subsidiarias no consolidadas y asociadas</w:t>
      </w:r>
      <w:r w:rsidR="00E53BF2">
        <w:rPr>
          <w:rFonts w:cs="Calibri"/>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3BBAA17" w14:textId="6CC9102B" w:rsidR="00CE17F8" w:rsidRDefault="00CE17F8" w:rsidP="00CE17F8">
      <w:pPr>
        <w:tabs>
          <w:tab w:val="left" w:leader="underscore" w:pos="9639"/>
        </w:tabs>
        <w:spacing w:after="0" w:line="240" w:lineRule="auto"/>
        <w:jc w:val="both"/>
        <w:rPr>
          <w:rFonts w:ascii="Arial" w:hAnsi="Arial" w:cs="Arial"/>
          <w:sz w:val="20"/>
          <w:szCs w:val="20"/>
          <w:u w:val="single"/>
        </w:rPr>
      </w:pPr>
      <w:r>
        <w:rPr>
          <w:rFonts w:ascii="Arial" w:hAnsi="Arial" w:cs="Arial"/>
          <w:sz w:val="20"/>
          <w:szCs w:val="20"/>
          <w:u w:val="single"/>
        </w:rPr>
        <w:t>Actualmente el método utilizado para la evaluación de los inventarios es el de Promedios, el costo de los inventarios físicos de este organismo operador es el valor de realización, se optó por utilizar el método de valuación Promedios por la gran cantidad de materiales que se manejan en el Almacén y no manejamos costo de lo vendido por que nosotros prestamos servicios al usuario y no realizamos transformación de materias primas.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1D965A13" w14:textId="77777777" w:rsidR="00CE17F8" w:rsidRDefault="00CE17F8" w:rsidP="00CE17F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1A9BC3AD" w14:textId="2F5EC14B" w:rsidR="00E53BF2" w:rsidRDefault="00E53BF2" w:rsidP="00CE17F8">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w:t>
      </w:r>
      <w:r w:rsidRPr="00E53BF2">
        <w:rPr>
          <w:rFonts w:cs="Calibri"/>
        </w:rPr>
        <w:t xml:space="preserve"> </w:t>
      </w:r>
      <w:r w:rsidRPr="00E74967">
        <w:rPr>
          <w:rFonts w:cs="Calibri"/>
        </w:rPr>
        <w:t>reserva</w:t>
      </w:r>
      <w:r>
        <w:rPr>
          <w:rFonts w:cs="Calibri"/>
        </w:rPr>
        <w:t>s</w:t>
      </w:r>
      <w:r w:rsidRPr="00E74967">
        <w:rPr>
          <w:rFonts w:cs="Calibri"/>
        </w:rPr>
        <w:t xml:space="preserve"> actuarial</w:t>
      </w:r>
      <w:r>
        <w:rPr>
          <w:rFonts w:cs="Calibri"/>
        </w:rPr>
        <w:t>es</w:t>
      </w:r>
      <w:r w:rsidRPr="00E74967">
        <w:rPr>
          <w:rFonts w:cs="Calibri"/>
        </w:rPr>
        <w:t>, valor presente de los ingresos esperados comparado con el valor presente de la estimación de gastos tanto de los beneficiarios actuales como futuros</w:t>
      </w:r>
    </w:p>
    <w:p w14:paraId="67B9BE20" w14:textId="77777777" w:rsidR="00CE17F8" w:rsidRDefault="00CE17F8" w:rsidP="00CB41C4">
      <w:pPr>
        <w:tabs>
          <w:tab w:val="left" w:leader="underscore" w:pos="9639"/>
        </w:tabs>
        <w:spacing w:after="0" w:line="240" w:lineRule="auto"/>
        <w:jc w:val="both"/>
        <w:rPr>
          <w:rFonts w:cs="Calibri"/>
          <w:b/>
        </w:rPr>
      </w:pPr>
    </w:p>
    <w:p w14:paraId="6113C381" w14:textId="45C312EC"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BBFBC06" w14:textId="77777777" w:rsidR="00CE17F8" w:rsidRDefault="00CE17F8" w:rsidP="00CE17F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24A22A06" w14:textId="0E69AB06" w:rsidR="00A364B0" w:rsidRPr="00720315" w:rsidRDefault="00A364B0" w:rsidP="00CE17F8">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 Provisiones</w:t>
      </w:r>
    </w:p>
    <w:p w14:paraId="24FE6A01" w14:textId="77777777" w:rsidR="00CE17F8" w:rsidRDefault="00CE17F8" w:rsidP="00CB41C4">
      <w:pPr>
        <w:tabs>
          <w:tab w:val="left" w:leader="underscore" w:pos="9639"/>
        </w:tabs>
        <w:spacing w:after="0" w:line="240" w:lineRule="auto"/>
        <w:jc w:val="both"/>
        <w:rPr>
          <w:rFonts w:cs="Calibri"/>
          <w:b/>
        </w:rPr>
      </w:pPr>
    </w:p>
    <w:p w14:paraId="4190001D" w14:textId="33A03AD9"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F3573AA" w14:textId="77777777" w:rsidR="00CE17F8" w:rsidRDefault="00CE17F8" w:rsidP="00CE17F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3471BCA" w14:textId="4C7C75C5" w:rsidR="00A364B0" w:rsidRPr="00720315" w:rsidRDefault="00A364B0" w:rsidP="00CE17F8">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6E11ECEF" w14:textId="77777777" w:rsidR="00CE17F8" w:rsidRDefault="00CE17F8" w:rsidP="00CE17F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0BEEFEC" w14:textId="4DFC4CBE" w:rsidR="00A364B0" w:rsidRPr="00720315" w:rsidRDefault="00A364B0" w:rsidP="00CE17F8">
      <w:pPr>
        <w:jc w:val="both"/>
        <w:rPr>
          <w:rFonts w:asciiTheme="minorHAnsi" w:hAnsiTheme="minorHAnsi" w:cstheme="minorHAnsi"/>
          <w:sz w:val="24"/>
          <w:szCs w:val="24"/>
          <w:u w:val="single"/>
        </w:rPr>
      </w:pPr>
      <w:r>
        <w:rPr>
          <w:rFonts w:cs="Calibri"/>
        </w:rPr>
        <w:t xml:space="preserve">Nota: No se han </w:t>
      </w:r>
      <w:r w:rsidRPr="001C710C">
        <w:rPr>
          <w:rFonts w:cs="Calibri"/>
        </w:rPr>
        <w:t>realiza</w:t>
      </w:r>
      <w:r>
        <w:rPr>
          <w:rFonts w:cs="Calibri"/>
        </w:rPr>
        <w:t>do Cambios en las políticas contables.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8E5A082" w14:textId="24550F98" w:rsidR="00CE17F8" w:rsidRDefault="00CE17F8" w:rsidP="00CB41C4">
      <w:pPr>
        <w:tabs>
          <w:tab w:val="left" w:leader="underscore" w:pos="9639"/>
        </w:tabs>
        <w:spacing w:after="0" w:line="240" w:lineRule="auto"/>
        <w:jc w:val="both"/>
        <w:rPr>
          <w:rFonts w:asciiTheme="minorHAnsi" w:hAnsiTheme="minorHAnsi" w:cstheme="minorHAnsi"/>
          <w:sz w:val="24"/>
          <w:szCs w:val="24"/>
          <w:u w:val="single"/>
        </w:rPr>
      </w:pPr>
      <w:r>
        <w:rPr>
          <w:rFonts w:asciiTheme="minorHAnsi" w:hAnsiTheme="minorHAnsi" w:cstheme="minorHAnsi"/>
          <w:sz w:val="24"/>
          <w:szCs w:val="24"/>
          <w:u w:val="single"/>
        </w:rPr>
        <w:t>A raíz de los cambios a la nueva versión del SAP R3 a SAP 4S HANA se han presentado varios cambios en las contabilizaciones, siendo uno de ellos los cambios en las partidas de Almacén por lo que a</w:t>
      </w:r>
      <w:r w:rsidR="00F15B20">
        <w:rPr>
          <w:rFonts w:asciiTheme="minorHAnsi" w:hAnsiTheme="minorHAnsi" w:cstheme="minorHAnsi"/>
          <w:sz w:val="24"/>
          <w:szCs w:val="24"/>
          <w:u w:val="single"/>
        </w:rPr>
        <w:t xml:space="preserve"> </w:t>
      </w:r>
      <w:r>
        <w:rPr>
          <w:rFonts w:asciiTheme="minorHAnsi" w:hAnsiTheme="minorHAnsi" w:cstheme="minorHAnsi"/>
          <w:sz w:val="24"/>
          <w:szCs w:val="24"/>
          <w:u w:val="single"/>
        </w:rPr>
        <w:t xml:space="preserve">partir de 2024 se reclasificó el saldo de las cuentas: </w:t>
      </w:r>
      <w:r w:rsidRPr="00CE17F8">
        <w:rPr>
          <w:rFonts w:asciiTheme="minorHAnsi" w:hAnsiTheme="minorHAnsi" w:cstheme="minorHAnsi"/>
          <w:sz w:val="24"/>
          <w:szCs w:val="24"/>
          <w:u w:val="single"/>
        </w:rPr>
        <w:t>1151300001  MATERIAL AGUA POTABLE</w:t>
      </w:r>
      <w:r>
        <w:rPr>
          <w:rFonts w:asciiTheme="minorHAnsi" w:hAnsiTheme="minorHAnsi" w:cstheme="minorHAnsi"/>
          <w:sz w:val="24"/>
          <w:szCs w:val="24"/>
          <w:u w:val="single"/>
        </w:rPr>
        <w:t xml:space="preserve"> y </w:t>
      </w:r>
      <w:r w:rsidRPr="00CE17F8">
        <w:rPr>
          <w:rFonts w:asciiTheme="minorHAnsi" w:hAnsiTheme="minorHAnsi" w:cstheme="minorHAnsi"/>
          <w:sz w:val="24"/>
          <w:szCs w:val="24"/>
          <w:u w:val="single"/>
        </w:rPr>
        <w:t>1151300002  ALMACEN DE PAPELERIA</w:t>
      </w:r>
      <w:r>
        <w:rPr>
          <w:rFonts w:asciiTheme="minorHAnsi" w:hAnsiTheme="minorHAnsi" w:cstheme="minorHAnsi"/>
          <w:sz w:val="24"/>
          <w:szCs w:val="24"/>
          <w:u w:val="single"/>
        </w:rPr>
        <w:t>, a las siguientes cuentas:</w:t>
      </w:r>
    </w:p>
    <w:p w14:paraId="0BD5D9CB" w14:textId="77777777" w:rsidR="00CE17F8" w:rsidRDefault="00CE17F8" w:rsidP="00CB41C4">
      <w:pPr>
        <w:tabs>
          <w:tab w:val="left" w:leader="underscore" w:pos="9639"/>
        </w:tabs>
        <w:spacing w:after="0" w:line="240" w:lineRule="auto"/>
        <w:jc w:val="both"/>
        <w:rPr>
          <w:rFonts w:asciiTheme="minorHAnsi" w:hAnsiTheme="minorHAnsi" w:cstheme="minorHAnsi"/>
          <w:sz w:val="24"/>
          <w:szCs w:val="24"/>
          <w:u w:val="single"/>
        </w:rPr>
      </w:pPr>
    </w:p>
    <w:p w14:paraId="510D61DB" w14:textId="46E45EFA" w:rsidR="00CE17F8" w:rsidRDefault="00CE17F8" w:rsidP="00CB41C4">
      <w:pPr>
        <w:tabs>
          <w:tab w:val="left" w:leader="underscore" w:pos="9639"/>
        </w:tabs>
        <w:spacing w:after="0" w:line="240" w:lineRule="auto"/>
        <w:jc w:val="both"/>
        <w:rPr>
          <w:rFonts w:asciiTheme="minorHAnsi" w:hAnsiTheme="minorHAnsi" w:cstheme="minorHAnsi"/>
          <w:sz w:val="24"/>
          <w:szCs w:val="24"/>
          <w:u w:val="single"/>
        </w:rPr>
      </w:pPr>
      <w:r>
        <w:rPr>
          <w:noProof/>
        </w:rPr>
        <w:drawing>
          <wp:inline distT="0" distB="0" distL="0" distR="0" wp14:anchorId="421C65A7" wp14:editId="5B184969">
            <wp:extent cx="3077155" cy="2580027"/>
            <wp:effectExtent l="0" t="0" r="9525" b="0"/>
            <wp:docPr id="994964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64424" name=""/>
                    <pic:cNvPicPr/>
                  </pic:nvPicPr>
                  <pic:blipFill rotWithShape="1">
                    <a:blip r:embed="rId16"/>
                    <a:srcRect l="1356" t="45604" r="81726" b="29183"/>
                    <a:stretch/>
                  </pic:blipFill>
                  <pic:spPr bwMode="auto">
                    <a:xfrm>
                      <a:off x="0" y="0"/>
                      <a:ext cx="3098555" cy="2597970"/>
                    </a:xfrm>
                    <a:prstGeom prst="rect">
                      <a:avLst/>
                    </a:prstGeom>
                    <a:ln>
                      <a:noFill/>
                    </a:ln>
                    <a:extLst>
                      <a:ext uri="{53640926-AAD7-44D8-BBD7-CCE9431645EC}">
                        <a14:shadowObscured xmlns:a14="http://schemas.microsoft.com/office/drawing/2010/main"/>
                      </a:ext>
                    </a:extLst>
                  </pic:spPr>
                </pic:pic>
              </a:graphicData>
            </a:graphic>
          </wp:inline>
        </w:drawing>
      </w:r>
    </w:p>
    <w:p w14:paraId="714E1935" w14:textId="77777777" w:rsidR="00CE17F8" w:rsidRDefault="00CE17F8" w:rsidP="00CB41C4">
      <w:pPr>
        <w:tabs>
          <w:tab w:val="left" w:leader="underscore" w:pos="9639"/>
        </w:tabs>
        <w:spacing w:after="0" w:line="240" w:lineRule="auto"/>
        <w:jc w:val="both"/>
        <w:rPr>
          <w:rFonts w:asciiTheme="minorHAnsi" w:hAnsiTheme="minorHAnsi" w:cstheme="minorHAnsi"/>
          <w:sz w:val="24"/>
          <w:szCs w:val="24"/>
          <w:u w:val="single"/>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6F145B38" w14:textId="77777777" w:rsidR="00CE17F8" w:rsidRDefault="00CE17F8" w:rsidP="00CE17F8">
      <w:pPr>
        <w:jc w:val="both"/>
        <w:rPr>
          <w:rFonts w:asciiTheme="minorHAnsi" w:hAnsiTheme="minorHAnsi" w:cstheme="minorHAnsi"/>
          <w:sz w:val="24"/>
          <w:szCs w:val="24"/>
          <w:u w:val="single"/>
        </w:rPr>
      </w:pPr>
      <w:r>
        <w:rPr>
          <w:rFonts w:asciiTheme="minorHAnsi" w:hAnsiTheme="minorHAnsi" w:cstheme="minorHAnsi"/>
          <w:sz w:val="24"/>
          <w:szCs w:val="24"/>
          <w:u w:val="single"/>
        </w:rPr>
        <w:t>Se durante el último trimestre de 2022 se realizaron depuración de saldos en cuentas de deudores, acreedores y obra pública para migrar a la versión S4 HANA del SAP.</w:t>
      </w:r>
    </w:p>
    <w:p w14:paraId="7AFC7125" w14:textId="6E10125C" w:rsidR="00CE17F8" w:rsidRPr="00720315" w:rsidRDefault="00CE17F8" w:rsidP="00CE17F8">
      <w:pPr>
        <w:jc w:val="both"/>
        <w:rPr>
          <w:rFonts w:asciiTheme="minorHAnsi" w:hAnsiTheme="minorHAnsi" w:cstheme="minorHAnsi"/>
          <w:sz w:val="24"/>
          <w:szCs w:val="24"/>
          <w:u w:val="single"/>
        </w:rPr>
      </w:pPr>
      <w:r>
        <w:rPr>
          <w:rFonts w:asciiTheme="minorHAnsi" w:hAnsiTheme="minorHAnsi" w:cstheme="minorHAnsi"/>
          <w:sz w:val="24"/>
          <w:szCs w:val="24"/>
          <w:u w:val="single"/>
        </w:rPr>
        <w:t>Así mismo, en junio de 2023 se realizó la migración de saldos de la versión SAP R3 a SAP 4S HANA por lo que la carga de saldos quedo a cargo de l</w:t>
      </w:r>
      <w:r w:rsidR="00846266">
        <w:rPr>
          <w:rFonts w:asciiTheme="minorHAnsi" w:hAnsiTheme="minorHAnsi" w:cstheme="minorHAnsi"/>
          <w:sz w:val="24"/>
          <w:szCs w:val="24"/>
          <w:u w:val="single"/>
        </w:rPr>
        <w:t>a</w:t>
      </w:r>
      <w:r>
        <w:rPr>
          <w:rFonts w:asciiTheme="minorHAnsi" w:hAnsiTheme="minorHAnsi" w:cstheme="minorHAnsi"/>
          <w:sz w:val="24"/>
          <w:szCs w:val="24"/>
          <w:u w:val="single"/>
        </w:rPr>
        <w:t xml:space="preserve"> SFIA y el despacho INNDOT contratado por la Secretaría para este proceso</w:t>
      </w:r>
      <w:r w:rsidR="00F15B20">
        <w:rPr>
          <w:rFonts w:asciiTheme="minorHAnsi" w:hAnsiTheme="minorHAnsi" w:cstheme="minorHAnsi"/>
          <w:sz w:val="24"/>
          <w:szCs w:val="24"/>
          <w:u w:val="single"/>
        </w:rPr>
        <w:t>.</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F46E891"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8BC5AC0" w14:textId="717C33C0" w:rsidR="007467FC" w:rsidRPr="00E74967" w:rsidRDefault="007467FC" w:rsidP="00FA198C">
      <w:pPr>
        <w:jc w:val="both"/>
        <w:rPr>
          <w:rFonts w:cs="Calibri"/>
        </w:rPr>
      </w:pPr>
      <w:r>
        <w:rPr>
          <w:rFonts w:cs="Calibri"/>
        </w:rPr>
        <w:lastRenderedPageBreak/>
        <w:t xml:space="preserve">Nota: No se tiene </w:t>
      </w:r>
      <w:r w:rsidRPr="00E74967">
        <w:rPr>
          <w:rFonts w:cs="Calibri"/>
        </w:rPr>
        <w:t>Activos en moneda extranjera</w:t>
      </w:r>
      <w:r>
        <w:rPr>
          <w:rFonts w:cs="Calibri"/>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F7E61F5"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35A1A53" w14:textId="1260BB66" w:rsidR="007467FC" w:rsidRPr="00E74967" w:rsidRDefault="007467FC" w:rsidP="00FA198C">
      <w:pPr>
        <w:jc w:val="both"/>
        <w:rPr>
          <w:rFonts w:cs="Calibri"/>
        </w:rPr>
      </w:pPr>
      <w:r>
        <w:rPr>
          <w:rFonts w:cs="Calibri"/>
        </w:rPr>
        <w:t>Nota: No se tiene Pasivos</w:t>
      </w:r>
      <w:r w:rsidRPr="00E74967">
        <w:rPr>
          <w:rFonts w:cs="Calibri"/>
        </w:rPr>
        <w:t xml:space="preserve">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334B2399"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728E3EC" w14:textId="056E2F16" w:rsidR="007467FC" w:rsidRPr="00E74967" w:rsidRDefault="007467FC" w:rsidP="00FA198C">
      <w:pPr>
        <w:jc w:val="both"/>
        <w:rPr>
          <w:rFonts w:cs="Calibri"/>
        </w:rPr>
      </w:pPr>
      <w:r>
        <w:rPr>
          <w:rFonts w:cs="Calibri"/>
        </w:rPr>
        <w:t xml:space="preserve">Nota: No se tiene Posiciones </w:t>
      </w:r>
      <w:r w:rsidRPr="00E74967">
        <w:rPr>
          <w:rFonts w:cs="Calibri"/>
        </w:rPr>
        <w:t>en moneda extranjera</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417A476"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D0F967C" w14:textId="4D0D9545" w:rsidR="007467FC" w:rsidRPr="00E74967" w:rsidRDefault="007467FC" w:rsidP="00FA198C">
      <w:pPr>
        <w:jc w:val="both"/>
        <w:rPr>
          <w:rFonts w:cs="Calibri"/>
        </w:rPr>
      </w:pPr>
      <w:r>
        <w:rPr>
          <w:rFonts w:cs="Calibri"/>
        </w:rPr>
        <w:t xml:space="preserve">Nota: No se tiene </w:t>
      </w:r>
      <w:r w:rsidR="00D93212">
        <w:rPr>
          <w:rFonts w:cs="Calibri"/>
        </w:rPr>
        <w:t>nada</w:t>
      </w:r>
      <w:r>
        <w:rPr>
          <w:rFonts w:cs="Calibri"/>
        </w:rPr>
        <w:t xml:space="preserve"> de los incisos a), b) y c) que impliquen tipo de cambio a reportar.</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77025BC" w14:textId="77777777" w:rsidR="00FA198C" w:rsidRDefault="00FA198C" w:rsidP="00FA198C">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25E537CF" w14:textId="162E05AE" w:rsidR="007545F6" w:rsidRPr="00E74967" w:rsidRDefault="007545F6" w:rsidP="00FA198C">
      <w:pPr>
        <w:jc w:val="both"/>
        <w:rPr>
          <w:rFonts w:cs="Calibri"/>
        </w:rPr>
      </w:pPr>
      <w:r>
        <w:rPr>
          <w:rFonts w:cs="Calibri"/>
        </w:rPr>
        <w:t xml:space="preserve">Nota: No se tiene </w:t>
      </w:r>
      <w:r w:rsidR="00D93212">
        <w:rPr>
          <w:rFonts w:cs="Calibri"/>
        </w:rPr>
        <w:t>nad</w:t>
      </w:r>
      <w:r>
        <w:rPr>
          <w:rFonts w:cs="Calibri"/>
        </w:rPr>
        <w:t>a de los incisos a), b) y c) que impliquen e</w:t>
      </w:r>
      <w:r w:rsidRPr="00E74967">
        <w:rPr>
          <w:rFonts w:cs="Calibri"/>
        </w:rPr>
        <w:t>quivalente en moneda nacional</w:t>
      </w:r>
      <w:r>
        <w:rPr>
          <w:rFonts w:cs="Calibri"/>
        </w:rPr>
        <w:t xml:space="preserve"> a reportar.</w:t>
      </w: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5E6E83BA" w14:textId="77777777" w:rsidR="00275BC1" w:rsidRDefault="00275BC1" w:rsidP="00275BC1">
      <w:pPr>
        <w:jc w:val="both"/>
        <w:rPr>
          <w:rFonts w:ascii="Arial" w:hAnsi="Arial" w:cs="Arial"/>
          <w:sz w:val="20"/>
          <w:szCs w:val="20"/>
          <w:u w:val="single"/>
        </w:rPr>
      </w:pPr>
      <w:r>
        <w:rPr>
          <w:rFonts w:ascii="Arial" w:hAnsi="Arial" w:cs="Arial"/>
          <w:sz w:val="20"/>
          <w:szCs w:val="20"/>
          <w:u w:val="single"/>
        </w:rPr>
        <w:t xml:space="preserve">Actualmente este Organismo operador se encuentra trabajando con el programa contable SAP S4 HANA el cual al termino o cierre de cada ejercicio fiscal vigente realiza de manera automática las Depreciaciones de acuerdo a tasas fiscales de aquellos activos que fueron adquiridos durante el ejercicio fiscal vigente. En el ejercicio fiscal de 2015 se procedió a reconocer los trabajos de la valuación de los peritos, los cuales fueron contratados con el objeto de realizar una valuación tanto a los bienes muebles como inmuebles propiedad del organismo operador y que fueron adquiridos hasta antes de 2012 y ya se registraron todas estas variaciones se actualizaron y se mandaron contra la cuenta de resultado de ejercicios anteriores, durante el ejercicio fiscal de 2020 se hizo el reconocimiento de algunos activos fijos que se encontraban en los pozos, así como la reclasificación de algunos otros por no cumplir con las características de un activo fijo. </w:t>
      </w:r>
    </w:p>
    <w:p w14:paraId="50C063F7" w14:textId="77777777" w:rsidR="00275BC1" w:rsidRDefault="00275BC1" w:rsidP="00275BC1">
      <w:pPr>
        <w:rPr>
          <w:rFonts w:ascii="Arial" w:hAnsi="Arial" w:cs="Arial"/>
          <w:sz w:val="20"/>
          <w:szCs w:val="20"/>
          <w:u w:val="single"/>
        </w:rPr>
      </w:pPr>
      <w:r>
        <w:rPr>
          <w:rFonts w:ascii="Arial" w:hAnsi="Arial" w:cs="Arial"/>
          <w:sz w:val="20"/>
          <w:szCs w:val="20"/>
          <w:u w:val="single"/>
        </w:rPr>
        <w:lastRenderedPageBreak/>
        <w:t xml:space="preserve">En correo electrónico del día 20 de octubre del 2023 compartido por la Coordinación de Asesoría y Armonización Contable de la </w:t>
      </w:r>
      <w:r w:rsidRPr="00E160D5">
        <w:rPr>
          <w:rFonts w:ascii="Arial" w:hAnsi="Arial" w:cs="Arial"/>
          <w:sz w:val="20"/>
          <w:szCs w:val="20"/>
          <w:u w:val="single"/>
        </w:rPr>
        <w:t>Dirección General de Contabilidad Gubernamental</w:t>
      </w:r>
      <w:r>
        <w:rPr>
          <w:rFonts w:ascii="Arial" w:hAnsi="Arial" w:cs="Arial"/>
          <w:sz w:val="20"/>
          <w:szCs w:val="20"/>
          <w:u w:val="single"/>
        </w:rPr>
        <w:t xml:space="preserve"> de la Secretaría de Finanzas nos da a conocer lo siguiente:</w:t>
      </w:r>
    </w:p>
    <w:p w14:paraId="7FC7DC0F" w14:textId="77777777" w:rsidR="00275BC1" w:rsidRDefault="00275BC1" w:rsidP="00275BC1">
      <w:pPr>
        <w:spacing w:line="240" w:lineRule="auto"/>
        <w:jc w:val="both"/>
        <w:rPr>
          <w:rFonts w:cs="Calibri"/>
          <w:sz w:val="24"/>
          <w:szCs w:val="24"/>
          <w:lang w:eastAsia="es-MX"/>
        </w:rPr>
      </w:pPr>
      <w:r>
        <w:rPr>
          <w:rFonts w:ascii="Arial" w:hAnsi="Arial" w:cs="Arial"/>
        </w:rPr>
        <w:t>“… 3. Asimismo, les compartimos que con el cambio al sistema SAP S4/HANA,</w:t>
      </w:r>
      <w:r>
        <w:rPr>
          <w:rFonts w:ascii="Arial" w:hAnsi="Arial" w:cs="Arial"/>
          <w:b/>
          <w:bCs/>
        </w:rPr>
        <w:t> los parámetros se homologan entre los tipos de entes públicos y este es el caso de los valores de vida útil de activos fijos</w:t>
      </w:r>
      <w:r>
        <w:rPr>
          <w:rFonts w:ascii="Arial" w:hAnsi="Arial" w:cs="Arial"/>
        </w:rPr>
        <w:t>, los cuales se apegan a los parámetros estandarizados en el sistema contable de Gobierno del Estado, en ese sentido es importante que lo consideren </w:t>
      </w:r>
      <w:r>
        <w:rPr>
          <w:rFonts w:ascii="Arial" w:hAnsi="Arial" w:cs="Arial"/>
          <w:u w:val="single"/>
        </w:rPr>
        <w:t>revelar en sus notas de gestión administrativa</w:t>
      </w:r>
      <w:r>
        <w:rPr>
          <w:rFonts w:ascii="Arial" w:hAnsi="Arial" w:cs="Arial"/>
        </w:rPr>
        <w:t>, toda vez que los activos fijos que se creen en el nuevo sistema se activan de forma directa con estos valores preestablecidos, no obstante los activos fijos migrados mantuvieron su vida útil y parámetros que tenían en el sistema anterior.”</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666574DC" w14:textId="77777777" w:rsidR="00275BC1" w:rsidRDefault="00275BC1" w:rsidP="00275BC1">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ECD56FC" w14:textId="73BFAE94" w:rsidR="00DE3F90" w:rsidRDefault="00DE3F90" w:rsidP="00DE3F90">
      <w:pPr>
        <w:tabs>
          <w:tab w:val="left" w:leader="underscore" w:pos="9639"/>
        </w:tabs>
        <w:spacing w:after="0" w:line="240" w:lineRule="auto"/>
        <w:jc w:val="both"/>
        <w:rPr>
          <w:rFonts w:cs="Calibri"/>
        </w:rPr>
      </w:pPr>
      <w:r>
        <w:rPr>
          <w:rFonts w:cs="Calibri"/>
        </w:rPr>
        <w:t>Nota: No se han hecho cambios en el en los porcentajes de depreciación ni amortización.</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64C21014"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2A3F1243" w14:textId="2B4C5C59" w:rsidR="007D4546" w:rsidRDefault="007D4546" w:rsidP="00D922A7">
      <w:pPr>
        <w:jc w:val="both"/>
        <w:rPr>
          <w:rFonts w:asciiTheme="minorHAnsi" w:hAnsiTheme="minorHAnsi" w:cstheme="minorHAnsi"/>
          <w:sz w:val="24"/>
          <w:szCs w:val="24"/>
          <w:u w:val="single"/>
        </w:rPr>
      </w:pPr>
      <w:r>
        <w:rPr>
          <w:rFonts w:cs="Calibri"/>
        </w:rPr>
        <w:t>Nota: No se capitalizaron gastos durante el periodo</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CA86300"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1883BF45" w14:textId="058BE281" w:rsidR="007D1E76" w:rsidRPr="00E74967" w:rsidRDefault="00835FFD" w:rsidP="00835FFD">
      <w:pPr>
        <w:jc w:val="both"/>
        <w:rPr>
          <w:rFonts w:cs="Calibri"/>
        </w:rPr>
      </w:pPr>
      <w:r>
        <w:rPr>
          <w:rFonts w:cs="Calibri"/>
        </w:rPr>
        <w:t>Nota: No se tienen inversiones de riesgo</w:t>
      </w: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E52537C"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5A772D0" w14:textId="225149D9" w:rsidR="00B070C9" w:rsidRDefault="00B070C9" w:rsidP="00B070C9">
      <w:pPr>
        <w:jc w:val="both"/>
        <w:rPr>
          <w:rFonts w:asciiTheme="minorHAnsi" w:hAnsiTheme="minorHAnsi" w:cstheme="minorHAnsi"/>
          <w:sz w:val="24"/>
          <w:szCs w:val="24"/>
          <w:u w:val="single"/>
        </w:rPr>
      </w:pPr>
      <w:r>
        <w:rPr>
          <w:rFonts w:cs="Calibri"/>
        </w:rPr>
        <w:t>Nota: No se tienen reportadas otras circunstancias que afecten el valor de los bienes de la entidad</w:t>
      </w: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BEB738F"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BF1272E" w14:textId="4B0D4E5D" w:rsidR="00B070C9" w:rsidRDefault="00B070C9" w:rsidP="00B070C9">
      <w:pPr>
        <w:jc w:val="both"/>
        <w:rPr>
          <w:rFonts w:asciiTheme="minorHAnsi" w:hAnsiTheme="minorHAnsi" w:cstheme="minorHAnsi"/>
          <w:sz w:val="24"/>
          <w:szCs w:val="24"/>
          <w:u w:val="single"/>
        </w:rPr>
      </w:pPr>
      <w:r>
        <w:rPr>
          <w:rFonts w:cs="Calibri"/>
        </w:rPr>
        <w:t>Nota: No se tienen reportadas otras circunstancias que afecten al activo.</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F708DB4"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EE83973" w14:textId="6C8DC13A" w:rsidR="001B6B76" w:rsidRDefault="001B6B76" w:rsidP="001B6B76">
      <w:pPr>
        <w:jc w:val="both"/>
        <w:rPr>
          <w:rFonts w:asciiTheme="minorHAnsi" w:hAnsiTheme="minorHAnsi" w:cstheme="minorHAnsi"/>
          <w:sz w:val="24"/>
          <w:szCs w:val="24"/>
          <w:u w:val="single"/>
        </w:rPr>
      </w:pPr>
      <w:r>
        <w:rPr>
          <w:rFonts w:cs="Calibri"/>
        </w:rPr>
        <w:t>Nota: No se ha realizado desmantelamiento de activos.</w:t>
      </w: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BF92389"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1D856FCC" w14:textId="35EC48CC" w:rsidR="001F5BB5" w:rsidRPr="00720315" w:rsidRDefault="001F5BB5" w:rsidP="00D922A7">
      <w:pPr>
        <w:jc w:val="both"/>
        <w:rPr>
          <w:rFonts w:asciiTheme="minorHAnsi" w:hAnsiTheme="minorHAnsi" w:cstheme="minorHAnsi"/>
          <w:sz w:val="24"/>
          <w:szCs w:val="24"/>
          <w:u w:val="single"/>
        </w:rPr>
      </w:pPr>
      <w:r>
        <w:rPr>
          <w:rFonts w:cs="Calibri"/>
        </w:rPr>
        <w:lastRenderedPageBreak/>
        <w:t>Nota: No se han realizado planeaciones para administración de activos durante el periodo que se informa.</w:t>
      </w: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68FC19EF"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2748C4B" w14:textId="5AF3AD9E" w:rsidR="00A8503C" w:rsidRPr="00720315" w:rsidRDefault="00A8503C" w:rsidP="00D922A7">
      <w:pPr>
        <w:jc w:val="both"/>
        <w:rPr>
          <w:rFonts w:asciiTheme="minorHAnsi" w:hAnsiTheme="minorHAnsi" w:cstheme="minorHAnsi"/>
          <w:sz w:val="24"/>
          <w:szCs w:val="24"/>
          <w:u w:val="single"/>
        </w:rPr>
      </w:pPr>
      <w:r>
        <w:rPr>
          <w:rFonts w:cs="Calibri"/>
        </w:rPr>
        <w:t>Nota: No se tienen inversiones en valores</w:t>
      </w:r>
    </w:p>
    <w:p w14:paraId="3B15581B" w14:textId="77777777" w:rsidR="00594ECD" w:rsidRDefault="00594ECD" w:rsidP="00CB41C4">
      <w:pPr>
        <w:tabs>
          <w:tab w:val="left" w:leader="underscore" w:pos="9639"/>
        </w:tabs>
        <w:spacing w:after="0" w:line="240" w:lineRule="auto"/>
        <w:jc w:val="both"/>
        <w:rPr>
          <w:rFonts w:cs="Calibri"/>
          <w:b/>
        </w:rPr>
      </w:pPr>
    </w:p>
    <w:p w14:paraId="7F294F69" w14:textId="47DE6D5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73D9ED6"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FD68926" w14:textId="2F5C3EAC" w:rsidR="00A8503C" w:rsidRPr="00720315" w:rsidRDefault="00A8503C" w:rsidP="00A8503C">
      <w:pPr>
        <w:jc w:val="both"/>
        <w:rPr>
          <w:rFonts w:asciiTheme="minorHAnsi" w:hAnsiTheme="minorHAnsi" w:cstheme="minorHAnsi"/>
          <w:sz w:val="24"/>
          <w:szCs w:val="24"/>
          <w:u w:val="single"/>
        </w:rPr>
      </w:pPr>
      <w:r>
        <w:rPr>
          <w:rFonts w:cs="Calibri"/>
        </w:rPr>
        <w:t xml:space="preserve">Nota: No se tienen </w:t>
      </w:r>
      <w:r w:rsidRPr="00E74967">
        <w:rPr>
          <w:rFonts w:cs="Calibri"/>
        </w:rPr>
        <w:t xml:space="preserve">Patrimonio de Organismos </w:t>
      </w:r>
      <w:r>
        <w:rPr>
          <w:rFonts w:cs="Calibri"/>
        </w:rPr>
        <w:t>D</w:t>
      </w:r>
      <w:r w:rsidRPr="00E74967">
        <w:rPr>
          <w:rFonts w:cs="Calibri"/>
        </w:rPr>
        <w:t>escentralizados de Control Presupuestario Indirecto</w:t>
      </w:r>
      <w:r>
        <w:rPr>
          <w:rFonts w:cs="Calibri"/>
        </w:rPr>
        <w:t xml:space="preserve"> por el ente.</w:t>
      </w: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02180D6E"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6B6D5FFB" w14:textId="6D22E835" w:rsidR="002F2C8F" w:rsidRPr="00720315" w:rsidRDefault="002F2C8F" w:rsidP="00D922A7">
      <w:pPr>
        <w:jc w:val="both"/>
        <w:rPr>
          <w:rFonts w:asciiTheme="minorHAnsi" w:hAnsiTheme="minorHAnsi" w:cstheme="minorHAnsi"/>
          <w:sz w:val="24"/>
          <w:szCs w:val="24"/>
          <w:u w:val="single"/>
        </w:rPr>
      </w:pPr>
      <w:r>
        <w:rPr>
          <w:rFonts w:cs="Calibri"/>
        </w:rPr>
        <w:t xml:space="preserve">Nota: No se tienen </w:t>
      </w:r>
      <w:r w:rsidRPr="00E74967">
        <w:rPr>
          <w:rFonts w:cs="Calibri"/>
        </w:rPr>
        <w:t>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01AE832D" w14:textId="77777777" w:rsidR="00D922A7"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010E40F" w14:textId="7BBC7EEC" w:rsidR="002F2C8F" w:rsidRPr="00720315" w:rsidRDefault="002F2C8F" w:rsidP="00D922A7">
      <w:pPr>
        <w:jc w:val="both"/>
        <w:rPr>
          <w:rFonts w:asciiTheme="minorHAnsi" w:hAnsiTheme="minorHAnsi" w:cstheme="minorHAnsi"/>
          <w:sz w:val="24"/>
          <w:szCs w:val="24"/>
          <w:u w:val="single"/>
        </w:rPr>
      </w:pPr>
      <w:r>
        <w:rPr>
          <w:rFonts w:cs="Calibri"/>
        </w:rPr>
        <w:t xml:space="preserve">Nota: No se tienen </w:t>
      </w:r>
      <w:r w:rsidRPr="00E74967">
        <w:rPr>
          <w:rFonts w:cs="Calibri"/>
        </w:rPr>
        <w:t xml:space="preserve">Inversiones en empresas de participación </w:t>
      </w:r>
      <w:r>
        <w:rPr>
          <w:rFonts w:cs="Calibri"/>
        </w:rPr>
        <w:t>minoritaria.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7040266" w14:textId="77777777" w:rsidR="00D922A7" w:rsidRPr="00720315" w:rsidRDefault="00D922A7" w:rsidP="00D922A7">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D36BFD2" w14:textId="3CE4C8A2" w:rsidR="003226D9" w:rsidRPr="00720315" w:rsidRDefault="003226D9" w:rsidP="003226D9">
      <w:pPr>
        <w:jc w:val="both"/>
        <w:rPr>
          <w:rFonts w:asciiTheme="minorHAnsi" w:hAnsiTheme="minorHAnsi" w:cstheme="minorHAnsi"/>
          <w:sz w:val="24"/>
          <w:szCs w:val="24"/>
          <w:u w:val="single"/>
        </w:rPr>
      </w:pPr>
      <w:r>
        <w:rPr>
          <w:rFonts w:cs="Calibri"/>
        </w:rPr>
        <w:t xml:space="preserve">Nota: No se tienen </w:t>
      </w:r>
      <w:r w:rsidRPr="00E74967">
        <w:rPr>
          <w:rFonts w:cs="Calibri"/>
        </w:rPr>
        <w:t xml:space="preserve">Patrimonio de </w:t>
      </w:r>
      <w:r>
        <w:rPr>
          <w:rFonts w:cs="Calibri"/>
        </w:rPr>
        <w:t>O</w:t>
      </w:r>
      <w:r w:rsidRPr="00E74967">
        <w:rPr>
          <w:rFonts w:cs="Calibri"/>
        </w:rPr>
        <w:t xml:space="preserve">rganismos </w:t>
      </w:r>
      <w:r>
        <w:rPr>
          <w:rFonts w:cs="Calibri"/>
        </w:rPr>
        <w:t>D</w:t>
      </w:r>
      <w:r w:rsidRPr="00E74967">
        <w:rPr>
          <w:rFonts w:cs="Calibri"/>
        </w:rPr>
        <w:t xml:space="preserve">escentralizados de control </w:t>
      </w:r>
      <w:r>
        <w:rPr>
          <w:rFonts w:cs="Calibri"/>
        </w:rPr>
        <w:t>P</w:t>
      </w:r>
      <w:r w:rsidRPr="00E74967">
        <w:rPr>
          <w:rFonts w:cs="Calibri"/>
        </w:rPr>
        <w:t xml:space="preserve">resupuestario </w:t>
      </w:r>
      <w:r>
        <w:rPr>
          <w:rFonts w:cs="Calibri"/>
        </w:rPr>
        <w:t>D</w:t>
      </w:r>
      <w:r w:rsidRPr="00E74967">
        <w:rPr>
          <w:rFonts w:cs="Calibri"/>
        </w:rPr>
        <w:t xml:space="preserve">irecto </w:t>
      </w:r>
      <w:r>
        <w:rPr>
          <w:rFonts w:cs="Calibri"/>
        </w:rPr>
        <w:t>por el ente.</w:t>
      </w:r>
    </w:p>
    <w:p w14:paraId="2B6EDA91"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6E4FB34" w14:textId="77777777" w:rsidR="007439B8" w:rsidRDefault="007439B8" w:rsidP="007439B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14E7F31E" w14:textId="5809F43F" w:rsidR="003505C7" w:rsidRDefault="003505C7" w:rsidP="003505C7">
      <w:pPr>
        <w:tabs>
          <w:tab w:val="left" w:leader="underscore" w:pos="9639"/>
        </w:tabs>
        <w:spacing w:after="0" w:line="240" w:lineRule="auto"/>
        <w:jc w:val="both"/>
        <w:rPr>
          <w:rFonts w:cs="Calibri"/>
        </w:rPr>
      </w:pPr>
      <w:r>
        <w:rPr>
          <w:rFonts w:cs="Calibri"/>
        </w:rPr>
        <w:t>Nota: No se tiene contratado fideicomisos, mandatos y análogos.</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213C0017" w14:textId="77777777" w:rsidR="007439B8" w:rsidRDefault="007439B8" w:rsidP="007439B8">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798E2F30" w14:textId="77777777" w:rsidR="003505C7" w:rsidRDefault="003505C7" w:rsidP="003505C7">
      <w:pPr>
        <w:tabs>
          <w:tab w:val="left" w:leader="underscore" w:pos="9639"/>
        </w:tabs>
        <w:spacing w:after="0" w:line="240" w:lineRule="auto"/>
        <w:jc w:val="both"/>
        <w:rPr>
          <w:rFonts w:cs="Calibri"/>
        </w:rPr>
      </w:pPr>
      <w:r>
        <w:rPr>
          <w:rFonts w:cs="Calibri"/>
        </w:rPr>
        <w:lastRenderedPageBreak/>
        <w:t>Nota: No se tiene contratado fideicomisos, mandatos y análogos.</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10954B7" w14:textId="76D9B15B" w:rsidR="00EA7450" w:rsidRDefault="00EA7450" w:rsidP="00EA7450">
      <w:pPr>
        <w:jc w:val="both"/>
        <w:rPr>
          <w:rFonts w:ascii="Arial" w:hAnsi="Arial" w:cs="Arial"/>
          <w:sz w:val="20"/>
          <w:szCs w:val="20"/>
          <w:u w:val="single"/>
        </w:rPr>
      </w:pPr>
      <w:r>
        <w:rPr>
          <w:rFonts w:ascii="Arial" w:hAnsi="Arial" w:cs="Arial"/>
          <w:sz w:val="20"/>
          <w:szCs w:val="20"/>
          <w:u w:val="single"/>
        </w:rPr>
        <w:t>Iniciamos ejercicio 202</w:t>
      </w:r>
      <w:r w:rsidR="00646C0F">
        <w:rPr>
          <w:rFonts w:ascii="Arial" w:hAnsi="Arial" w:cs="Arial"/>
          <w:sz w:val="20"/>
          <w:szCs w:val="20"/>
          <w:u w:val="single"/>
        </w:rPr>
        <w:t>5</w:t>
      </w:r>
      <w:r>
        <w:rPr>
          <w:rFonts w:ascii="Arial" w:hAnsi="Arial" w:cs="Arial"/>
          <w:sz w:val="20"/>
          <w:szCs w:val="20"/>
          <w:u w:val="single"/>
        </w:rPr>
        <w:t xml:space="preserve"> con nuevas tarifas autorizadas en Ley de Ingresos 202</w:t>
      </w:r>
      <w:r w:rsidR="005412D3">
        <w:rPr>
          <w:rFonts w:ascii="Arial" w:hAnsi="Arial" w:cs="Arial"/>
          <w:sz w:val="20"/>
          <w:szCs w:val="20"/>
          <w:u w:val="single"/>
        </w:rPr>
        <w:t>5</w:t>
      </w:r>
      <w:r>
        <w:rPr>
          <w:rFonts w:ascii="Arial" w:hAnsi="Arial" w:cs="Arial"/>
          <w:sz w:val="20"/>
          <w:szCs w:val="20"/>
          <w:u w:val="single"/>
        </w:rPr>
        <w:t xml:space="preserve">, superamos el porcentaje de recaudación pronosticado </w:t>
      </w:r>
      <w:r w:rsidR="00135873">
        <w:rPr>
          <w:rFonts w:ascii="Arial" w:hAnsi="Arial" w:cs="Arial"/>
          <w:sz w:val="20"/>
          <w:szCs w:val="20"/>
          <w:u w:val="single"/>
        </w:rPr>
        <w:t>en el</w:t>
      </w:r>
      <w:r>
        <w:rPr>
          <w:rFonts w:ascii="Arial" w:hAnsi="Arial" w:cs="Arial"/>
          <w:sz w:val="20"/>
          <w:szCs w:val="20"/>
          <w:u w:val="single"/>
        </w:rPr>
        <w:t xml:space="preserve"> 1er. Trimestre de 202</w:t>
      </w:r>
      <w:r w:rsidR="00557F2A">
        <w:rPr>
          <w:rFonts w:ascii="Arial" w:hAnsi="Arial" w:cs="Arial"/>
          <w:sz w:val="20"/>
          <w:szCs w:val="20"/>
          <w:u w:val="single"/>
        </w:rPr>
        <w:t>5</w:t>
      </w:r>
      <w:r>
        <w:rPr>
          <w:rFonts w:ascii="Arial" w:hAnsi="Arial" w:cs="Arial"/>
          <w:sz w:val="20"/>
          <w:szCs w:val="20"/>
          <w:u w:val="single"/>
        </w:rPr>
        <w:t xml:space="preserve"> en un </w:t>
      </w:r>
      <w:r w:rsidR="00557F2A">
        <w:rPr>
          <w:rFonts w:ascii="Arial" w:hAnsi="Arial" w:cs="Arial"/>
          <w:sz w:val="20"/>
          <w:szCs w:val="20"/>
          <w:u w:val="single"/>
        </w:rPr>
        <w:t>24.18</w:t>
      </w:r>
      <w:r>
        <w:rPr>
          <w:rFonts w:ascii="Arial" w:hAnsi="Arial" w:cs="Arial"/>
          <w:sz w:val="20"/>
          <w:szCs w:val="20"/>
          <w:u w:val="single"/>
        </w:rPr>
        <w:t xml:space="preserve">%, </w:t>
      </w:r>
      <w:r w:rsidR="00557F2A">
        <w:rPr>
          <w:rFonts w:ascii="Arial" w:hAnsi="Arial" w:cs="Arial"/>
          <w:sz w:val="20"/>
          <w:szCs w:val="20"/>
          <w:u w:val="single"/>
        </w:rPr>
        <w:t xml:space="preserve">sin embargo, </w:t>
      </w:r>
      <w:r w:rsidR="00704F2D">
        <w:rPr>
          <w:rFonts w:ascii="Arial" w:hAnsi="Arial" w:cs="Arial"/>
          <w:sz w:val="20"/>
          <w:szCs w:val="20"/>
          <w:u w:val="single"/>
        </w:rPr>
        <w:t xml:space="preserve">representa un </w:t>
      </w:r>
      <w:r w:rsidR="00557F2A">
        <w:rPr>
          <w:rFonts w:ascii="Arial" w:hAnsi="Arial" w:cs="Arial"/>
          <w:sz w:val="20"/>
          <w:szCs w:val="20"/>
          <w:u w:val="single"/>
        </w:rPr>
        <w:t>7.61</w:t>
      </w:r>
      <w:r w:rsidR="00704F2D">
        <w:rPr>
          <w:rFonts w:ascii="Arial" w:hAnsi="Arial" w:cs="Arial"/>
          <w:sz w:val="20"/>
          <w:szCs w:val="20"/>
          <w:u w:val="single"/>
        </w:rPr>
        <w:t xml:space="preserve">% </w:t>
      </w:r>
      <w:r w:rsidR="00557F2A">
        <w:rPr>
          <w:rFonts w:ascii="Arial" w:hAnsi="Arial" w:cs="Arial"/>
          <w:sz w:val="20"/>
          <w:szCs w:val="20"/>
          <w:u w:val="single"/>
        </w:rPr>
        <w:t xml:space="preserve">menos al recaudado </w:t>
      </w:r>
      <w:r w:rsidR="00704F2D">
        <w:rPr>
          <w:rFonts w:ascii="Arial" w:hAnsi="Arial" w:cs="Arial"/>
          <w:sz w:val="20"/>
          <w:szCs w:val="20"/>
          <w:u w:val="single"/>
        </w:rPr>
        <w:t>respecto al mismo trimestre de 202</w:t>
      </w:r>
      <w:r w:rsidR="00557F2A">
        <w:rPr>
          <w:rFonts w:ascii="Arial" w:hAnsi="Arial" w:cs="Arial"/>
          <w:sz w:val="20"/>
          <w:szCs w:val="20"/>
          <w:u w:val="single"/>
        </w:rPr>
        <w:t>4</w:t>
      </w:r>
      <w:r w:rsidR="00704F2D">
        <w:rPr>
          <w:rFonts w:ascii="Arial" w:hAnsi="Arial" w:cs="Arial"/>
          <w:sz w:val="20"/>
          <w:szCs w:val="20"/>
          <w:u w:val="single"/>
        </w:rPr>
        <w:t>.</w:t>
      </w:r>
      <w:r w:rsidR="00135873">
        <w:rPr>
          <w:rFonts w:ascii="Arial" w:hAnsi="Arial" w:cs="Arial"/>
          <w:sz w:val="20"/>
          <w:szCs w:val="20"/>
          <w:u w:val="single"/>
        </w:rPr>
        <w:t xml:space="preserve"> </w:t>
      </w:r>
      <w:r w:rsidR="00A76BA9">
        <w:rPr>
          <w:rFonts w:ascii="Arial" w:hAnsi="Arial" w:cs="Arial"/>
          <w:sz w:val="20"/>
          <w:szCs w:val="20"/>
          <w:u w:val="single"/>
        </w:rPr>
        <w:t xml:space="preserve">Así mismo se superó el porcentaje de recaudación pronosticado en </w:t>
      </w:r>
      <w:r w:rsidR="009E397A">
        <w:rPr>
          <w:rFonts w:ascii="Arial" w:hAnsi="Arial" w:cs="Arial"/>
          <w:sz w:val="20"/>
          <w:szCs w:val="20"/>
          <w:u w:val="single"/>
        </w:rPr>
        <w:t xml:space="preserve">tanto en </w:t>
      </w:r>
      <w:r w:rsidR="00A76BA9">
        <w:rPr>
          <w:rFonts w:ascii="Arial" w:hAnsi="Arial" w:cs="Arial"/>
          <w:sz w:val="20"/>
          <w:szCs w:val="20"/>
          <w:u w:val="single"/>
        </w:rPr>
        <w:t>el 2o. Trimestre de 2025 en un 24.68%</w:t>
      </w:r>
      <w:r w:rsidR="009E397A">
        <w:rPr>
          <w:rFonts w:ascii="Arial" w:hAnsi="Arial" w:cs="Arial"/>
          <w:sz w:val="20"/>
          <w:szCs w:val="20"/>
          <w:u w:val="single"/>
        </w:rPr>
        <w:t xml:space="preserve"> así como para el 3er. Trimestre por </w:t>
      </w:r>
      <w:r w:rsidR="00A159B6">
        <w:rPr>
          <w:rFonts w:ascii="Arial" w:hAnsi="Arial" w:cs="Arial"/>
          <w:sz w:val="20"/>
          <w:szCs w:val="20"/>
          <w:u w:val="single"/>
        </w:rPr>
        <w:t>35.61%.</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77F1E4C4" w14:textId="3F790E3C" w:rsidR="00E522E0" w:rsidRDefault="00E522E0" w:rsidP="00E522E0">
      <w:pPr>
        <w:jc w:val="both"/>
        <w:rPr>
          <w:rFonts w:ascii="Arial" w:hAnsi="Arial" w:cs="Arial"/>
          <w:sz w:val="20"/>
          <w:szCs w:val="20"/>
          <w:u w:val="single"/>
        </w:rPr>
      </w:pPr>
      <w:r>
        <w:rPr>
          <w:rFonts w:ascii="Arial" w:hAnsi="Arial" w:cs="Arial"/>
          <w:sz w:val="20"/>
          <w:szCs w:val="20"/>
          <w:u w:val="single"/>
        </w:rPr>
        <w:t>Se tiene contemplado que el pronóstico de ingresos se vea rebasado en por lo menos un 3</w:t>
      </w:r>
      <w:r w:rsidR="005D5C29">
        <w:rPr>
          <w:rFonts w:ascii="Arial" w:hAnsi="Arial" w:cs="Arial"/>
          <w:sz w:val="20"/>
          <w:szCs w:val="20"/>
          <w:u w:val="single"/>
        </w:rPr>
        <w:t>0</w:t>
      </w:r>
      <w:r>
        <w:rPr>
          <w:rFonts w:ascii="Arial" w:hAnsi="Arial" w:cs="Arial"/>
          <w:sz w:val="20"/>
          <w:szCs w:val="20"/>
          <w:u w:val="single"/>
        </w:rPr>
        <w:t>% al cierre del</w:t>
      </w:r>
      <w:r w:rsidR="00390E43">
        <w:rPr>
          <w:rFonts w:ascii="Arial" w:hAnsi="Arial" w:cs="Arial"/>
          <w:sz w:val="20"/>
          <w:szCs w:val="20"/>
          <w:u w:val="single"/>
        </w:rPr>
        <w:t xml:space="preserve"> ejercicio y respecto al</w:t>
      </w:r>
      <w:r>
        <w:rPr>
          <w:rFonts w:ascii="Arial" w:hAnsi="Arial" w:cs="Arial"/>
          <w:sz w:val="20"/>
          <w:szCs w:val="20"/>
          <w:u w:val="single"/>
        </w:rPr>
        <w:t xml:space="preserve"> ejercicio 202</w:t>
      </w:r>
      <w:r w:rsidR="005D5C29">
        <w:rPr>
          <w:rFonts w:ascii="Arial" w:hAnsi="Arial" w:cs="Arial"/>
          <w:sz w:val="20"/>
          <w:szCs w:val="20"/>
          <w:u w:val="single"/>
        </w:rPr>
        <w:t>4</w:t>
      </w:r>
      <w:r>
        <w:rPr>
          <w:rFonts w:ascii="Arial" w:hAnsi="Arial" w:cs="Arial"/>
          <w:sz w:val="20"/>
          <w:szCs w:val="20"/>
          <w:u w:val="single"/>
        </w:rPr>
        <w:t>.</w:t>
      </w:r>
      <w:r w:rsidR="00594ECD">
        <w:rPr>
          <w:rFonts w:ascii="Arial" w:hAnsi="Arial" w:cs="Arial"/>
          <w:sz w:val="20"/>
          <w:szCs w:val="20"/>
          <w:u w:val="single"/>
        </w:rPr>
        <w:t xml:space="preserve"> </w:t>
      </w: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10E28BE3" w:rsidR="007D1E76" w:rsidRPr="00E522E0" w:rsidRDefault="007D1E76" w:rsidP="00E522E0">
      <w:pPr>
        <w:pStyle w:val="Prrafodelista"/>
        <w:numPr>
          <w:ilvl w:val="0"/>
          <w:numId w:val="2"/>
        </w:numPr>
        <w:tabs>
          <w:tab w:val="left" w:leader="underscore" w:pos="9639"/>
        </w:tabs>
        <w:spacing w:after="0" w:line="240" w:lineRule="auto"/>
        <w:jc w:val="both"/>
        <w:rPr>
          <w:rFonts w:cs="Calibri"/>
        </w:rPr>
      </w:pPr>
      <w:r w:rsidRPr="00E522E0">
        <w:rPr>
          <w:rFonts w:cs="Calibri"/>
        </w:rPr>
        <w:t>Utilizar al menos los siguientes indicadores: deuda respecto al PIB y deuda respecto a la recaudación tomando, como mínimo, un período igual o menor a 5 años.</w:t>
      </w:r>
    </w:p>
    <w:p w14:paraId="5CAB1A7D" w14:textId="77777777" w:rsidR="00E522E0" w:rsidRDefault="00E522E0" w:rsidP="00E522E0">
      <w:pPr>
        <w:jc w:val="both"/>
        <w:rPr>
          <w:rFonts w:asciiTheme="minorHAnsi" w:hAnsiTheme="minorHAnsi" w:cstheme="minorHAnsi"/>
          <w:sz w:val="24"/>
          <w:szCs w:val="24"/>
          <w:u w:val="single"/>
        </w:rPr>
      </w:pPr>
      <w:r w:rsidRPr="00E522E0">
        <w:rPr>
          <w:rFonts w:ascii="Arial" w:hAnsi="Arial" w:cs="Arial"/>
          <w:sz w:val="20"/>
          <w:szCs w:val="20"/>
          <w:u w:val="single"/>
        </w:rPr>
        <w:t xml:space="preserve">N/A </w:t>
      </w:r>
      <w:r w:rsidRPr="00E522E0">
        <w:rPr>
          <w:rFonts w:asciiTheme="minorHAnsi" w:hAnsiTheme="minorHAnsi" w:cstheme="minorHAnsi"/>
          <w:sz w:val="24"/>
          <w:szCs w:val="24"/>
          <w:u w:val="single"/>
        </w:rPr>
        <w:t>“Esta nota no le aplica al ente público”</w:t>
      </w:r>
    </w:p>
    <w:p w14:paraId="546EB827" w14:textId="77777777" w:rsidR="005C551C" w:rsidRDefault="005C551C" w:rsidP="005C551C">
      <w:pPr>
        <w:tabs>
          <w:tab w:val="left" w:leader="underscore" w:pos="9639"/>
        </w:tabs>
        <w:spacing w:after="0" w:line="240" w:lineRule="auto"/>
        <w:jc w:val="both"/>
        <w:rPr>
          <w:rFonts w:cs="Calibri"/>
        </w:rPr>
      </w:pPr>
      <w:r>
        <w:rPr>
          <w:rFonts w:cs="Calibri"/>
        </w:rPr>
        <w:t>Nota: No se tiene contratada deuda según se aprecia en el estado financiero correspondiente.</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09880915" w14:textId="77777777" w:rsidR="00E522E0" w:rsidRDefault="00E522E0" w:rsidP="00E522E0">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0331C70" w14:textId="6A1E82F6" w:rsidR="000318D7" w:rsidRDefault="000318D7" w:rsidP="000318D7">
      <w:pPr>
        <w:tabs>
          <w:tab w:val="left" w:leader="underscore" w:pos="9639"/>
        </w:tabs>
        <w:spacing w:after="0" w:line="240" w:lineRule="auto"/>
        <w:jc w:val="both"/>
        <w:rPr>
          <w:rFonts w:cs="Calibri"/>
        </w:rPr>
      </w:pPr>
      <w:r>
        <w:rPr>
          <w:rFonts w:cs="Calibri"/>
        </w:rPr>
        <w:t>Nota: No se tiene contratada deuda según se aprecia en el estado financiero correspondiente.</w:t>
      </w:r>
    </w:p>
    <w:p w14:paraId="409B1D78" w14:textId="77777777" w:rsidR="007D1E76" w:rsidRDefault="007D1E76" w:rsidP="00CB41C4">
      <w:pPr>
        <w:tabs>
          <w:tab w:val="left" w:leader="underscore" w:pos="9639"/>
        </w:tabs>
        <w:spacing w:after="0" w:line="240" w:lineRule="auto"/>
        <w:jc w:val="both"/>
        <w:rPr>
          <w:rFonts w:cs="Calibri"/>
        </w:rPr>
      </w:pPr>
    </w:p>
    <w:p w14:paraId="3A885B49" w14:textId="77777777" w:rsidR="00966DE0" w:rsidRPr="00E74967" w:rsidRDefault="00966DE0"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BD3E1A0" w14:textId="77777777" w:rsidR="00E522E0" w:rsidRDefault="00E522E0" w:rsidP="00E522E0">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33E184BA" w14:textId="4E93EFBA" w:rsidR="000318D7" w:rsidRDefault="000318D7" w:rsidP="000318D7">
      <w:pPr>
        <w:tabs>
          <w:tab w:val="left" w:leader="underscore" w:pos="9639"/>
        </w:tabs>
        <w:spacing w:after="0" w:line="240" w:lineRule="auto"/>
        <w:jc w:val="both"/>
        <w:rPr>
          <w:rFonts w:cs="Calibri"/>
        </w:rPr>
      </w:pPr>
      <w:r>
        <w:rPr>
          <w:rFonts w:cs="Calibri"/>
        </w:rPr>
        <w:t>Nota: No se ha hecho consulta de alguna calificación crediticia puesto que no se han solicitado créditos</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70970E09" w14:textId="15AF18C6" w:rsidR="00E522E0" w:rsidRDefault="00E522E0" w:rsidP="00E522E0">
      <w:pPr>
        <w:jc w:val="both"/>
        <w:rPr>
          <w:rFonts w:ascii="Arial" w:hAnsi="Arial" w:cs="Arial"/>
          <w:sz w:val="20"/>
          <w:szCs w:val="20"/>
          <w:u w:val="single"/>
        </w:rPr>
      </w:pPr>
      <w:r>
        <w:rPr>
          <w:rFonts w:ascii="Arial" w:hAnsi="Arial" w:cs="Arial"/>
          <w:sz w:val="20"/>
          <w:szCs w:val="20"/>
          <w:u w:val="single"/>
        </w:rPr>
        <w:lastRenderedPageBreak/>
        <w:t>Se continua con el manejo de  varios formatos de control interno como son; vales de salida de material, vales de entrada de material no utilizado en los trabajos a realizar, bitácoras de materiales, checador facial para controlar las asistencias del personal, formato de control de vacaciones, recibo de nómina, firma de formatos del resguardo del material, así como de los activos que se encuentran en uso del personal, aviso de suspensión del servicio de agua, aviso de notificación de adeudo, aviso de multa, formato de la contratación del servicio, formatos de reportes de fuga, desazolve, etc. Este año fueron autorizados los Principios de Racionalidad, Austeridad, y Disciplina del Gasto Público para el SAPAF 2024</w:t>
      </w:r>
      <w:r w:rsidR="00966DE0">
        <w:rPr>
          <w:rFonts w:ascii="Arial" w:hAnsi="Arial" w:cs="Arial"/>
          <w:sz w:val="20"/>
          <w:szCs w:val="20"/>
          <w:u w:val="single"/>
        </w:rPr>
        <w:t>, así también se creó el Comité de Control Interno del SAPAF</w:t>
      </w:r>
      <w:r>
        <w:rPr>
          <w:rFonts w:ascii="Arial" w:hAnsi="Arial" w:cs="Arial"/>
          <w:sz w:val="20"/>
          <w:szCs w:val="20"/>
          <w:u w:val="single"/>
        </w:rPr>
        <w:t>.</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184E44" w14:textId="77777777" w:rsidR="00E522E0" w:rsidRDefault="00E522E0" w:rsidP="00E522E0">
      <w:pPr>
        <w:jc w:val="both"/>
        <w:rPr>
          <w:rFonts w:ascii="Arial" w:hAnsi="Arial" w:cs="Arial"/>
          <w:sz w:val="20"/>
          <w:szCs w:val="20"/>
          <w:u w:val="single"/>
        </w:rPr>
      </w:pPr>
      <w:r>
        <w:rPr>
          <w:rFonts w:ascii="Arial" w:hAnsi="Arial" w:cs="Arial"/>
          <w:sz w:val="20"/>
          <w:szCs w:val="20"/>
          <w:u w:val="single"/>
        </w:rPr>
        <w:t>Se realizan reuniones periódicas con el personal encargado de cada una de las áreas para verificar el desarrollo de sus actividades, así como el cumplimiento de las metas que se hayan establecido en cada una de las gerencias. Así mismo son entregados a la Dirección General informes mensuales por cada una de las áreas y de esta manera se verifica el cumplimiento de las metas y objetivos de cada una de las mismas.</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Default="007D1E76" w:rsidP="00CB41C4">
      <w:pPr>
        <w:tabs>
          <w:tab w:val="left" w:leader="underscore" w:pos="9639"/>
        </w:tabs>
        <w:spacing w:after="0" w:line="240" w:lineRule="auto"/>
        <w:jc w:val="both"/>
        <w:rPr>
          <w:rFonts w:cs="Calibri"/>
        </w:rPr>
      </w:pPr>
    </w:p>
    <w:p w14:paraId="2BCC489D" w14:textId="77777777" w:rsidR="007728CB" w:rsidRDefault="007728CB" w:rsidP="007728CB">
      <w:pPr>
        <w:jc w:val="both"/>
        <w:rPr>
          <w:rFonts w:asciiTheme="minorHAnsi" w:hAnsiTheme="minorHAnsi" w:cstheme="minorHAnsi"/>
          <w:sz w:val="24"/>
          <w:szCs w:val="24"/>
          <w:u w:val="single"/>
        </w:rPr>
      </w:pPr>
      <w:r w:rsidRPr="00720315">
        <w:rPr>
          <w:rFonts w:ascii="Arial" w:hAnsi="Arial" w:cs="Arial"/>
          <w:sz w:val="20"/>
          <w:szCs w:val="20"/>
          <w:u w:val="single"/>
        </w:rPr>
        <w:t xml:space="preserve">N/A </w:t>
      </w:r>
      <w:r w:rsidRPr="00720315">
        <w:rPr>
          <w:rFonts w:asciiTheme="minorHAnsi" w:hAnsiTheme="minorHAnsi" w:cstheme="minorHAnsi"/>
          <w:sz w:val="24"/>
          <w:szCs w:val="24"/>
          <w:u w:val="single"/>
        </w:rPr>
        <w:t>“Esta nota no le aplica al ente público”</w:t>
      </w:r>
    </w:p>
    <w:p w14:paraId="0B06C546" w14:textId="146BDDB7" w:rsidR="00123BC0" w:rsidRDefault="00123BC0" w:rsidP="00123BC0">
      <w:pPr>
        <w:tabs>
          <w:tab w:val="left" w:leader="underscore" w:pos="9639"/>
        </w:tabs>
        <w:spacing w:after="0" w:line="240" w:lineRule="auto"/>
        <w:jc w:val="both"/>
        <w:rPr>
          <w:rFonts w:cs="Calibri"/>
        </w:rPr>
      </w:pPr>
      <w:r>
        <w:rPr>
          <w:rFonts w:cs="Calibri"/>
        </w:rPr>
        <w:t xml:space="preserve">Nota: </w:t>
      </w:r>
      <w:r w:rsidR="0079436E">
        <w:rPr>
          <w:rFonts w:cs="Calibri"/>
        </w:rPr>
        <w:t>La información ser genera de forma global por toda la operatividad del ente</w:t>
      </w:r>
      <w:r>
        <w:rPr>
          <w:rFonts w:cs="Calibri"/>
        </w:rPr>
        <w:t>.</w:t>
      </w:r>
    </w:p>
    <w:p w14:paraId="03BBF660" w14:textId="77777777" w:rsidR="007D1E76" w:rsidRDefault="007D1E76" w:rsidP="00CB41C4">
      <w:pPr>
        <w:tabs>
          <w:tab w:val="left" w:leader="underscore" w:pos="9639"/>
        </w:tabs>
        <w:spacing w:after="0" w:line="240" w:lineRule="auto"/>
        <w:jc w:val="both"/>
        <w:rPr>
          <w:rFonts w:cs="Calibri"/>
        </w:rPr>
      </w:pPr>
    </w:p>
    <w:p w14:paraId="1CACAE25" w14:textId="77777777" w:rsidR="00990463" w:rsidRPr="00E74967" w:rsidRDefault="00990463"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5B5BA00D" w14:textId="77777777" w:rsidR="0040651F" w:rsidRPr="00720315" w:rsidRDefault="007D1E76" w:rsidP="0040651F">
      <w:pPr>
        <w:jc w:val="both"/>
        <w:rPr>
          <w:rFonts w:asciiTheme="minorHAnsi" w:hAnsiTheme="minorHAnsi" w:cstheme="minorHAnsi"/>
          <w:sz w:val="24"/>
          <w:szCs w:val="24"/>
          <w:u w:val="single"/>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40651F" w:rsidRPr="00720315">
        <w:rPr>
          <w:rFonts w:ascii="Arial" w:hAnsi="Arial" w:cs="Arial"/>
          <w:sz w:val="20"/>
          <w:szCs w:val="20"/>
          <w:u w:val="single"/>
        </w:rPr>
        <w:t xml:space="preserve">N/A </w:t>
      </w:r>
      <w:r w:rsidR="0040651F" w:rsidRPr="00720315">
        <w:rPr>
          <w:rFonts w:asciiTheme="minorHAnsi" w:hAnsiTheme="minorHAnsi" w:cstheme="minorHAnsi"/>
          <w:sz w:val="24"/>
          <w:szCs w:val="24"/>
          <w:u w:val="single"/>
        </w:rPr>
        <w:t>“Esta nota no le aplica al ente público”</w:t>
      </w:r>
    </w:p>
    <w:p w14:paraId="31CBD868" w14:textId="562C0346" w:rsidR="002D5F80" w:rsidRDefault="0040651F" w:rsidP="0040651F">
      <w:pPr>
        <w:jc w:val="both"/>
        <w:rPr>
          <w:rFonts w:cs="Calibri"/>
        </w:rPr>
      </w:pPr>
      <w:r>
        <w:rPr>
          <w:rFonts w:cs="Calibri"/>
        </w:rPr>
        <w:t>Nota: Durante el periodo no se reportan eventos posteriores al cierre.</w:t>
      </w: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5199BDD3" w14:textId="77777777" w:rsidR="005F178D" w:rsidRPr="00720315" w:rsidRDefault="005F178D" w:rsidP="005F178D">
      <w:pPr>
        <w:jc w:val="both"/>
        <w:rPr>
          <w:rFonts w:asciiTheme="minorHAnsi" w:hAnsiTheme="minorHAnsi" w:cstheme="minorHAnsi"/>
          <w:sz w:val="24"/>
          <w:szCs w:val="24"/>
          <w:u w:val="single"/>
        </w:rPr>
      </w:pPr>
      <w:r w:rsidRPr="00720315">
        <w:rPr>
          <w:rFonts w:ascii="Arial" w:hAnsi="Arial" w:cs="Arial"/>
          <w:sz w:val="20"/>
          <w:szCs w:val="20"/>
          <w:u w:val="single"/>
        </w:rPr>
        <w:lastRenderedPageBreak/>
        <w:t xml:space="preserve">N/A </w:t>
      </w:r>
      <w:r w:rsidRPr="00720315">
        <w:rPr>
          <w:rFonts w:asciiTheme="minorHAnsi" w:hAnsiTheme="minorHAnsi" w:cstheme="minorHAnsi"/>
          <w:sz w:val="24"/>
          <w:szCs w:val="24"/>
          <w:u w:val="single"/>
        </w:rPr>
        <w:t>“Esta nota no le aplica al ente público”</w:t>
      </w:r>
    </w:p>
    <w:p w14:paraId="78699B1C" w14:textId="5F3639DD" w:rsidR="007D1E76" w:rsidRDefault="00C41233" w:rsidP="00CB41C4">
      <w:pPr>
        <w:tabs>
          <w:tab w:val="left" w:leader="underscore" w:pos="9639"/>
        </w:tabs>
        <w:spacing w:after="0" w:line="240" w:lineRule="auto"/>
        <w:jc w:val="both"/>
        <w:rPr>
          <w:rFonts w:cs="Calibri"/>
        </w:rPr>
      </w:pPr>
      <w:r>
        <w:rPr>
          <w:rFonts w:cs="Calibri"/>
        </w:rPr>
        <w:t>Nota: No hay partes relacionadas que influyan en la toma de decisiones financieras y operativas.</w:t>
      </w:r>
    </w:p>
    <w:p w14:paraId="21B1CE77" w14:textId="77777777" w:rsidR="00C41233" w:rsidRPr="00E74967" w:rsidRDefault="00C41233"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7F465B62" w14:textId="77777777" w:rsidR="009823ED" w:rsidRDefault="009823ED" w:rsidP="00CB41C4">
      <w:pPr>
        <w:tabs>
          <w:tab w:val="left" w:leader="underscore" w:pos="9639"/>
        </w:tabs>
        <w:spacing w:after="0" w:line="240" w:lineRule="auto"/>
        <w:jc w:val="both"/>
        <w:rPr>
          <w:rFonts w:cs="Calibri"/>
        </w:rPr>
      </w:pPr>
    </w:p>
    <w:p w14:paraId="52285309" w14:textId="77777777" w:rsidR="009823ED" w:rsidRDefault="009823ED" w:rsidP="00CB41C4">
      <w:pPr>
        <w:tabs>
          <w:tab w:val="left" w:leader="underscore" w:pos="9639"/>
        </w:tabs>
        <w:spacing w:after="0" w:line="240" w:lineRule="auto"/>
        <w:jc w:val="both"/>
        <w:rPr>
          <w:rFonts w:cs="Calibri"/>
        </w:rPr>
      </w:pPr>
    </w:p>
    <w:p w14:paraId="1157DD2D" w14:textId="57DA19CA" w:rsidR="00C41233" w:rsidRDefault="009823ED" w:rsidP="00CB41C4">
      <w:pPr>
        <w:tabs>
          <w:tab w:val="left" w:leader="underscore" w:pos="9639"/>
        </w:tabs>
        <w:spacing w:after="0" w:line="240" w:lineRule="auto"/>
        <w:jc w:val="both"/>
        <w:rPr>
          <w:rFonts w:cs="Calibri"/>
        </w:rPr>
      </w:pPr>
      <w:r>
        <w:rPr>
          <w:rFonts w:cs="Calibri"/>
        </w:rPr>
        <w:t>_____________________________       __________</w:t>
      </w:r>
      <w:r w:rsidR="00D36810">
        <w:rPr>
          <w:rFonts w:cs="Calibri"/>
        </w:rPr>
        <w:t>___</w:t>
      </w:r>
      <w:r>
        <w:rPr>
          <w:rFonts w:cs="Calibri"/>
        </w:rPr>
        <w:t>________________          ________________________</w:t>
      </w:r>
    </w:p>
    <w:p w14:paraId="05263A38" w14:textId="5C671545" w:rsidR="009823ED" w:rsidRDefault="00D36810" w:rsidP="009823ED">
      <w:pPr>
        <w:spacing w:after="0" w:line="240" w:lineRule="auto"/>
        <w:rPr>
          <w:rFonts w:ascii="Arial" w:eastAsia="Times New Roman" w:hAnsi="Arial" w:cs="Arial"/>
          <w:b/>
          <w:sz w:val="16"/>
          <w:szCs w:val="16"/>
          <w:lang w:eastAsia="es-MX"/>
        </w:rPr>
      </w:pPr>
      <w:r>
        <w:rPr>
          <w:rFonts w:ascii="Arial" w:eastAsia="Times New Roman" w:hAnsi="Arial" w:cs="Arial"/>
          <w:b/>
          <w:sz w:val="16"/>
          <w:szCs w:val="16"/>
          <w:lang w:eastAsia="es-MX"/>
        </w:rPr>
        <w:t xml:space="preserve">     ING.</w:t>
      </w:r>
      <w:r w:rsidR="009823ED" w:rsidRPr="004671C2">
        <w:rPr>
          <w:rFonts w:ascii="Arial" w:eastAsia="Times New Roman" w:hAnsi="Arial" w:cs="Arial"/>
          <w:b/>
          <w:sz w:val="16"/>
          <w:szCs w:val="16"/>
          <w:lang w:eastAsia="es-MX"/>
        </w:rPr>
        <w:t xml:space="preserve"> </w:t>
      </w:r>
      <w:r>
        <w:rPr>
          <w:rFonts w:ascii="Arial" w:eastAsia="Times New Roman" w:hAnsi="Arial" w:cs="Arial"/>
          <w:b/>
          <w:sz w:val="16"/>
          <w:szCs w:val="16"/>
          <w:lang w:eastAsia="es-MX"/>
        </w:rPr>
        <w:t>OCTAVIO GONZÁLEZ GARCÍA</w:t>
      </w:r>
      <w:r w:rsidR="009823ED" w:rsidRPr="00955216">
        <w:rPr>
          <w:rFonts w:ascii="Arial" w:eastAsia="Times New Roman" w:hAnsi="Arial" w:cs="Arial"/>
          <w:b/>
          <w:sz w:val="16"/>
          <w:szCs w:val="16"/>
          <w:lang w:eastAsia="es-MX"/>
        </w:rPr>
        <w:t xml:space="preserve"> </w:t>
      </w:r>
      <w:r w:rsidR="009823ED">
        <w:rPr>
          <w:rFonts w:ascii="Arial" w:eastAsia="Times New Roman" w:hAnsi="Arial" w:cs="Arial"/>
          <w:b/>
          <w:sz w:val="16"/>
          <w:szCs w:val="16"/>
          <w:lang w:eastAsia="es-MX"/>
        </w:rPr>
        <w:t xml:space="preserve">   </w:t>
      </w:r>
      <w:r>
        <w:rPr>
          <w:rFonts w:ascii="Arial" w:eastAsia="Times New Roman" w:hAnsi="Arial" w:cs="Arial"/>
          <w:b/>
          <w:sz w:val="16"/>
          <w:szCs w:val="16"/>
          <w:lang w:eastAsia="es-MX"/>
        </w:rPr>
        <w:t xml:space="preserve"> </w:t>
      </w:r>
      <w:r w:rsidR="009823ED">
        <w:rPr>
          <w:rFonts w:ascii="Arial" w:eastAsia="Times New Roman" w:hAnsi="Arial" w:cs="Arial"/>
          <w:b/>
          <w:sz w:val="16"/>
          <w:szCs w:val="16"/>
          <w:lang w:eastAsia="es-MX"/>
        </w:rPr>
        <w:t xml:space="preserve">    </w:t>
      </w:r>
      <w:r w:rsidR="001E4AD8">
        <w:rPr>
          <w:rFonts w:ascii="Arial" w:eastAsia="Times New Roman" w:hAnsi="Arial" w:cs="Arial"/>
          <w:b/>
          <w:sz w:val="16"/>
          <w:szCs w:val="16"/>
          <w:lang w:eastAsia="es-MX"/>
        </w:rPr>
        <w:t xml:space="preserve">   </w:t>
      </w:r>
      <w:r w:rsidR="009823ED">
        <w:rPr>
          <w:rFonts w:ascii="Arial" w:eastAsia="Times New Roman" w:hAnsi="Arial" w:cs="Arial"/>
          <w:b/>
          <w:sz w:val="16"/>
          <w:szCs w:val="16"/>
          <w:lang w:eastAsia="es-MX"/>
        </w:rPr>
        <w:t xml:space="preserve"> </w:t>
      </w:r>
      <w:r w:rsidR="008C0168">
        <w:rPr>
          <w:rFonts w:ascii="Arial" w:eastAsia="Times New Roman" w:hAnsi="Arial" w:cs="Arial"/>
          <w:b/>
          <w:sz w:val="16"/>
          <w:szCs w:val="16"/>
          <w:lang w:eastAsia="es-MX"/>
        </w:rPr>
        <w:t xml:space="preserve">LIC. </w:t>
      </w:r>
      <w:r>
        <w:rPr>
          <w:rFonts w:ascii="Arial" w:eastAsia="Times New Roman" w:hAnsi="Arial" w:cs="Arial"/>
          <w:b/>
          <w:sz w:val="16"/>
          <w:szCs w:val="16"/>
          <w:lang w:eastAsia="es-MX"/>
        </w:rPr>
        <w:t>ADELA SAMANTHA DÁVALOS ANAYA</w:t>
      </w:r>
      <w:r w:rsidR="009823ED">
        <w:rPr>
          <w:rFonts w:ascii="Arial" w:eastAsia="Times New Roman" w:hAnsi="Arial" w:cs="Arial"/>
          <w:b/>
          <w:sz w:val="16"/>
          <w:szCs w:val="16"/>
          <w:lang w:eastAsia="es-MX"/>
        </w:rPr>
        <w:t xml:space="preserve">    </w:t>
      </w:r>
      <w:r w:rsidR="008C0168">
        <w:rPr>
          <w:rFonts w:ascii="Arial" w:eastAsia="Times New Roman" w:hAnsi="Arial" w:cs="Arial"/>
          <w:b/>
          <w:sz w:val="16"/>
          <w:szCs w:val="16"/>
          <w:lang w:eastAsia="es-MX"/>
        </w:rPr>
        <w:t xml:space="preserve">   </w:t>
      </w:r>
      <w:r w:rsidR="009823ED" w:rsidRPr="004671C2">
        <w:rPr>
          <w:rFonts w:ascii="Arial" w:eastAsia="Times New Roman" w:hAnsi="Arial" w:cs="Arial"/>
          <w:b/>
          <w:sz w:val="16"/>
          <w:szCs w:val="16"/>
          <w:lang w:eastAsia="es-MX"/>
        </w:rPr>
        <w:t xml:space="preserve"> C.P. </w:t>
      </w:r>
      <w:r w:rsidR="009823ED">
        <w:rPr>
          <w:rFonts w:ascii="Arial" w:eastAsia="Times New Roman" w:hAnsi="Arial" w:cs="Arial"/>
          <w:b/>
          <w:sz w:val="16"/>
          <w:szCs w:val="16"/>
          <w:lang w:eastAsia="es-MX"/>
        </w:rPr>
        <w:t>HILARIA ARRIAGA QUIROZ</w:t>
      </w:r>
    </w:p>
    <w:p w14:paraId="269420D4" w14:textId="6D524991" w:rsidR="009823ED" w:rsidRPr="008C0168" w:rsidRDefault="008C0168" w:rsidP="009823ED">
      <w:pPr>
        <w:spacing w:after="0" w:line="240" w:lineRule="auto"/>
        <w:rPr>
          <w:b/>
          <w:sz w:val="18"/>
          <w:szCs w:val="20"/>
        </w:rPr>
      </w:pPr>
      <w:r>
        <w:rPr>
          <w:b/>
          <w:sz w:val="18"/>
          <w:szCs w:val="20"/>
        </w:rPr>
        <w:t xml:space="preserve">    </w:t>
      </w:r>
      <w:r w:rsidRPr="008C0168">
        <w:rPr>
          <w:b/>
          <w:sz w:val="18"/>
          <w:szCs w:val="20"/>
        </w:rPr>
        <w:t>PRESIDENTE</w:t>
      </w:r>
      <w:r w:rsidR="009823ED" w:rsidRPr="008C0168">
        <w:rPr>
          <w:b/>
          <w:sz w:val="18"/>
          <w:szCs w:val="20"/>
        </w:rPr>
        <w:t xml:space="preserve"> DEL CONSEJO DIRECTIVO     </w:t>
      </w:r>
      <w:r>
        <w:rPr>
          <w:b/>
          <w:sz w:val="18"/>
          <w:szCs w:val="20"/>
        </w:rPr>
        <w:t xml:space="preserve">   </w:t>
      </w:r>
      <w:r w:rsidR="001E4AD8">
        <w:rPr>
          <w:b/>
          <w:sz w:val="18"/>
          <w:szCs w:val="20"/>
        </w:rPr>
        <w:t xml:space="preserve">   </w:t>
      </w:r>
      <w:r>
        <w:rPr>
          <w:b/>
          <w:sz w:val="18"/>
          <w:szCs w:val="20"/>
        </w:rPr>
        <w:t xml:space="preserve"> </w:t>
      </w:r>
      <w:r w:rsidR="009823ED" w:rsidRPr="008C0168">
        <w:rPr>
          <w:b/>
          <w:sz w:val="18"/>
          <w:szCs w:val="20"/>
        </w:rPr>
        <w:t xml:space="preserve"> </w:t>
      </w:r>
      <w:r w:rsidR="001E4AD8">
        <w:rPr>
          <w:b/>
          <w:sz w:val="18"/>
          <w:szCs w:val="20"/>
        </w:rPr>
        <w:t xml:space="preserve"> </w:t>
      </w:r>
      <w:r w:rsidR="009823ED" w:rsidRPr="008C0168">
        <w:rPr>
          <w:b/>
          <w:sz w:val="18"/>
          <w:szCs w:val="20"/>
        </w:rPr>
        <w:t xml:space="preserve"> </w:t>
      </w:r>
      <w:r w:rsidR="00D36810">
        <w:rPr>
          <w:b/>
          <w:sz w:val="18"/>
          <w:szCs w:val="20"/>
        </w:rPr>
        <w:t xml:space="preserve"> </w:t>
      </w:r>
      <w:r w:rsidRPr="008C0168">
        <w:rPr>
          <w:b/>
          <w:sz w:val="18"/>
          <w:szCs w:val="20"/>
        </w:rPr>
        <w:t>SECRETARIA</w:t>
      </w:r>
      <w:r w:rsidR="009823ED" w:rsidRPr="008C0168">
        <w:rPr>
          <w:b/>
          <w:sz w:val="18"/>
          <w:szCs w:val="20"/>
        </w:rPr>
        <w:t xml:space="preserve"> DEL CONSEJO DIRECTIVO     </w:t>
      </w:r>
      <w:r>
        <w:rPr>
          <w:b/>
          <w:sz w:val="18"/>
          <w:szCs w:val="20"/>
        </w:rPr>
        <w:t xml:space="preserve">       </w:t>
      </w:r>
      <w:r w:rsidR="00D36810">
        <w:rPr>
          <w:b/>
          <w:sz w:val="18"/>
          <w:szCs w:val="20"/>
        </w:rPr>
        <w:t xml:space="preserve">   </w:t>
      </w:r>
      <w:r w:rsidR="009823ED" w:rsidRPr="008C0168">
        <w:rPr>
          <w:b/>
          <w:sz w:val="18"/>
          <w:szCs w:val="20"/>
        </w:rPr>
        <w:t xml:space="preserve">     GTE. DE ADM</w:t>
      </w:r>
      <w:r w:rsidRPr="008C0168">
        <w:rPr>
          <w:b/>
          <w:sz w:val="18"/>
          <w:szCs w:val="20"/>
        </w:rPr>
        <w:t>Ó</w:t>
      </w:r>
      <w:r w:rsidR="009823ED" w:rsidRPr="008C0168">
        <w:rPr>
          <w:b/>
          <w:sz w:val="18"/>
          <w:szCs w:val="20"/>
        </w:rPr>
        <w:t>N. Y FINANZAS</w:t>
      </w:r>
    </w:p>
    <w:p w14:paraId="4678BF95" w14:textId="44635A76" w:rsidR="00C41233" w:rsidRPr="008C0168" w:rsidRDefault="00C41233" w:rsidP="00CB41C4">
      <w:pPr>
        <w:tabs>
          <w:tab w:val="left" w:leader="underscore" w:pos="9639"/>
        </w:tabs>
        <w:spacing w:after="0" w:line="240" w:lineRule="auto"/>
        <w:jc w:val="both"/>
        <w:rPr>
          <w:b/>
          <w:sz w:val="18"/>
          <w:szCs w:val="20"/>
        </w:rPr>
      </w:pPr>
    </w:p>
    <w:p w14:paraId="392E355A" w14:textId="77777777" w:rsidR="009823ED" w:rsidRDefault="009823ED" w:rsidP="00CB41C4">
      <w:pPr>
        <w:tabs>
          <w:tab w:val="left" w:leader="underscore" w:pos="9639"/>
        </w:tabs>
        <w:spacing w:after="0" w:line="240" w:lineRule="auto"/>
        <w:jc w:val="both"/>
        <w:rPr>
          <w:rFonts w:cs="Calibri"/>
        </w:rPr>
      </w:pPr>
    </w:p>
    <w:p w14:paraId="0B8ABC03" w14:textId="77777777" w:rsidR="00256EAD" w:rsidRPr="00E74967" w:rsidRDefault="00256EAD" w:rsidP="00CB41C4">
      <w:pPr>
        <w:tabs>
          <w:tab w:val="left" w:leader="underscore" w:pos="9639"/>
        </w:tabs>
        <w:spacing w:after="0" w:line="240" w:lineRule="auto"/>
        <w:jc w:val="both"/>
        <w:rPr>
          <w:rFonts w:cs="Calibri"/>
        </w:rPr>
      </w:pPr>
    </w:p>
    <w:sectPr w:rsidR="00256EAD" w:rsidRPr="00E74967" w:rsidSect="00967E9D">
      <w:headerReference w:type="default" r:id="rId17"/>
      <w:footerReference w:type="default" r:id="rId18"/>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26AC3" w14:textId="77777777" w:rsidR="00EB0BBF" w:rsidRDefault="00EB0BBF" w:rsidP="00E00323">
      <w:pPr>
        <w:spacing w:after="0" w:line="240" w:lineRule="auto"/>
      </w:pPr>
      <w:r>
        <w:separator/>
      </w:r>
    </w:p>
  </w:endnote>
  <w:endnote w:type="continuationSeparator" w:id="0">
    <w:p w14:paraId="3C5DA196" w14:textId="77777777" w:rsidR="00EB0BBF" w:rsidRDefault="00EB0BBF"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1651C" w14:textId="77777777" w:rsidR="00EB0BBF" w:rsidRDefault="00EB0BBF" w:rsidP="00E00323">
      <w:pPr>
        <w:spacing w:after="0" w:line="240" w:lineRule="auto"/>
      </w:pPr>
      <w:r>
        <w:separator/>
      </w:r>
    </w:p>
  </w:footnote>
  <w:footnote w:type="continuationSeparator" w:id="0">
    <w:p w14:paraId="5A893FAA" w14:textId="77777777" w:rsidR="00EB0BBF" w:rsidRDefault="00EB0BBF"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1D069" w14:textId="36A1EFED" w:rsidR="00EA40D0" w:rsidRDefault="00EA40D0" w:rsidP="00EA40D0">
    <w:pPr>
      <w:pStyle w:val="Encabezado"/>
      <w:spacing w:after="0" w:line="240" w:lineRule="auto"/>
      <w:jc w:val="center"/>
    </w:pPr>
    <w:r>
      <w:t>SISTEMA DE AGUA POTABLE Y ALCANTARILLADO DE SAN FRANCISCO DEL RINCON, GTO.</w:t>
    </w:r>
  </w:p>
  <w:p w14:paraId="19352E9A" w14:textId="22D90640" w:rsidR="00EA40D0" w:rsidRDefault="00EA40D0" w:rsidP="00EA40D0">
    <w:pPr>
      <w:pStyle w:val="Encabezado"/>
      <w:spacing w:after="0" w:line="240" w:lineRule="auto"/>
      <w:jc w:val="center"/>
    </w:pPr>
    <w:r>
      <w:t>CORRESPONDIENTES A</w:t>
    </w:r>
    <w:r w:rsidR="00D6667A">
      <w:t>L</w:t>
    </w:r>
    <w:r w:rsidR="005F7EDE">
      <w:t xml:space="preserve"> </w:t>
    </w:r>
    <w:r w:rsidR="002A758E">
      <w:t>3ER</w:t>
    </w:r>
    <w:r w:rsidR="005F7EDE">
      <w:t>. TRIMESTRE DEL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B357D37"/>
    <w:multiLevelType w:val="hybridMultilevel"/>
    <w:tmpl w:val="6F4C5002"/>
    <w:lvl w:ilvl="0" w:tplc="B66E1C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1130542">
    <w:abstractNumId w:val="0"/>
  </w:num>
  <w:num w:numId="2" w16cid:durableId="1094519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1507"/>
    <w:rsid w:val="000310EF"/>
    <w:rsid w:val="000318D7"/>
    <w:rsid w:val="00040D4F"/>
    <w:rsid w:val="000572F7"/>
    <w:rsid w:val="00084EAE"/>
    <w:rsid w:val="00091CE6"/>
    <w:rsid w:val="000B7810"/>
    <w:rsid w:val="000C3365"/>
    <w:rsid w:val="000D0B95"/>
    <w:rsid w:val="00106EE9"/>
    <w:rsid w:val="00123BC0"/>
    <w:rsid w:val="0012405A"/>
    <w:rsid w:val="0012493A"/>
    <w:rsid w:val="001336BD"/>
    <w:rsid w:val="00135873"/>
    <w:rsid w:val="00145B43"/>
    <w:rsid w:val="00154BA3"/>
    <w:rsid w:val="0016766C"/>
    <w:rsid w:val="001973A2"/>
    <w:rsid w:val="001A1B98"/>
    <w:rsid w:val="001B069E"/>
    <w:rsid w:val="001B6B76"/>
    <w:rsid w:val="001C34BC"/>
    <w:rsid w:val="001C710C"/>
    <w:rsid w:val="001C75F2"/>
    <w:rsid w:val="001D2063"/>
    <w:rsid w:val="001D43E9"/>
    <w:rsid w:val="001E4AD8"/>
    <w:rsid w:val="001F5BB5"/>
    <w:rsid w:val="00221E6C"/>
    <w:rsid w:val="00231FBE"/>
    <w:rsid w:val="00232175"/>
    <w:rsid w:val="00245C03"/>
    <w:rsid w:val="0024740E"/>
    <w:rsid w:val="002512D9"/>
    <w:rsid w:val="00256EAD"/>
    <w:rsid w:val="002722DD"/>
    <w:rsid w:val="00275BC1"/>
    <w:rsid w:val="0029253B"/>
    <w:rsid w:val="00295B72"/>
    <w:rsid w:val="002A758E"/>
    <w:rsid w:val="002D5F80"/>
    <w:rsid w:val="002F2C8F"/>
    <w:rsid w:val="003226D9"/>
    <w:rsid w:val="003453CA"/>
    <w:rsid w:val="003505C7"/>
    <w:rsid w:val="00380EAE"/>
    <w:rsid w:val="00390E43"/>
    <w:rsid w:val="003920CC"/>
    <w:rsid w:val="00396D53"/>
    <w:rsid w:val="00397893"/>
    <w:rsid w:val="003C3193"/>
    <w:rsid w:val="003E3DFD"/>
    <w:rsid w:val="003E6C64"/>
    <w:rsid w:val="0040651F"/>
    <w:rsid w:val="0043078C"/>
    <w:rsid w:val="00435A87"/>
    <w:rsid w:val="0047559F"/>
    <w:rsid w:val="004A1077"/>
    <w:rsid w:val="004A58C8"/>
    <w:rsid w:val="004B6406"/>
    <w:rsid w:val="004C067C"/>
    <w:rsid w:val="004F234D"/>
    <w:rsid w:val="004F6FAC"/>
    <w:rsid w:val="005009CA"/>
    <w:rsid w:val="005053EE"/>
    <w:rsid w:val="00516100"/>
    <w:rsid w:val="00516A8F"/>
    <w:rsid w:val="00520F14"/>
    <w:rsid w:val="00540261"/>
    <w:rsid w:val="005412D3"/>
    <w:rsid w:val="0054701E"/>
    <w:rsid w:val="00557F2A"/>
    <w:rsid w:val="00594ECD"/>
    <w:rsid w:val="005B48BD"/>
    <w:rsid w:val="005B5531"/>
    <w:rsid w:val="005C1A52"/>
    <w:rsid w:val="005C551C"/>
    <w:rsid w:val="005D3E43"/>
    <w:rsid w:val="005D5C29"/>
    <w:rsid w:val="005D678A"/>
    <w:rsid w:val="005E231E"/>
    <w:rsid w:val="005F178D"/>
    <w:rsid w:val="005F2900"/>
    <w:rsid w:val="005F51CC"/>
    <w:rsid w:val="005F7EDE"/>
    <w:rsid w:val="0064059E"/>
    <w:rsid w:val="00644E26"/>
    <w:rsid w:val="00646C0F"/>
    <w:rsid w:val="0065324B"/>
    <w:rsid w:val="00657009"/>
    <w:rsid w:val="0067640D"/>
    <w:rsid w:val="00681C79"/>
    <w:rsid w:val="006B1ADF"/>
    <w:rsid w:val="006F0687"/>
    <w:rsid w:val="006F77A8"/>
    <w:rsid w:val="00704F2D"/>
    <w:rsid w:val="007439B8"/>
    <w:rsid w:val="007467FC"/>
    <w:rsid w:val="007545F6"/>
    <w:rsid w:val="007610BC"/>
    <w:rsid w:val="007714AB"/>
    <w:rsid w:val="007728CB"/>
    <w:rsid w:val="0079436E"/>
    <w:rsid w:val="007D1E76"/>
    <w:rsid w:val="007D4484"/>
    <w:rsid w:val="007D4546"/>
    <w:rsid w:val="007E38A2"/>
    <w:rsid w:val="007F699D"/>
    <w:rsid w:val="00806269"/>
    <w:rsid w:val="00835FFD"/>
    <w:rsid w:val="008453AD"/>
    <w:rsid w:val="00846266"/>
    <w:rsid w:val="0086420E"/>
    <w:rsid w:val="0086459F"/>
    <w:rsid w:val="00883304"/>
    <w:rsid w:val="0089716C"/>
    <w:rsid w:val="0089772F"/>
    <w:rsid w:val="008B5DD2"/>
    <w:rsid w:val="008C0168"/>
    <w:rsid w:val="008C3BB8"/>
    <w:rsid w:val="008D6276"/>
    <w:rsid w:val="008E076C"/>
    <w:rsid w:val="008F6E08"/>
    <w:rsid w:val="00910EE7"/>
    <w:rsid w:val="0092765C"/>
    <w:rsid w:val="00943F12"/>
    <w:rsid w:val="00946CF3"/>
    <w:rsid w:val="00955216"/>
    <w:rsid w:val="00966DE0"/>
    <w:rsid w:val="00967DDA"/>
    <w:rsid w:val="00967E9D"/>
    <w:rsid w:val="009736CB"/>
    <w:rsid w:val="009823ED"/>
    <w:rsid w:val="00990463"/>
    <w:rsid w:val="0099126A"/>
    <w:rsid w:val="00991AFD"/>
    <w:rsid w:val="009954A8"/>
    <w:rsid w:val="009B0AE2"/>
    <w:rsid w:val="009B32E9"/>
    <w:rsid w:val="009E397A"/>
    <w:rsid w:val="009E7C76"/>
    <w:rsid w:val="00A159B6"/>
    <w:rsid w:val="00A364B0"/>
    <w:rsid w:val="00A41EC8"/>
    <w:rsid w:val="00A4610E"/>
    <w:rsid w:val="00A46597"/>
    <w:rsid w:val="00A6346D"/>
    <w:rsid w:val="00A730E0"/>
    <w:rsid w:val="00A76BA9"/>
    <w:rsid w:val="00A8503C"/>
    <w:rsid w:val="00AA012D"/>
    <w:rsid w:val="00AA2768"/>
    <w:rsid w:val="00AA41E5"/>
    <w:rsid w:val="00AB722B"/>
    <w:rsid w:val="00AD3163"/>
    <w:rsid w:val="00AE1C9E"/>
    <w:rsid w:val="00AE1F6A"/>
    <w:rsid w:val="00AF4375"/>
    <w:rsid w:val="00B06BEA"/>
    <w:rsid w:val="00B070C9"/>
    <w:rsid w:val="00B073DE"/>
    <w:rsid w:val="00B444D7"/>
    <w:rsid w:val="00B57E99"/>
    <w:rsid w:val="00B6368B"/>
    <w:rsid w:val="00B72267"/>
    <w:rsid w:val="00BA0EBE"/>
    <w:rsid w:val="00BA53FE"/>
    <w:rsid w:val="00BE02EB"/>
    <w:rsid w:val="00BE7030"/>
    <w:rsid w:val="00BF6A19"/>
    <w:rsid w:val="00C04E8B"/>
    <w:rsid w:val="00C41233"/>
    <w:rsid w:val="00C4250B"/>
    <w:rsid w:val="00C4625D"/>
    <w:rsid w:val="00C54C12"/>
    <w:rsid w:val="00C93C67"/>
    <w:rsid w:val="00C97E1E"/>
    <w:rsid w:val="00CA1968"/>
    <w:rsid w:val="00CB41C4"/>
    <w:rsid w:val="00CE17F8"/>
    <w:rsid w:val="00CF1316"/>
    <w:rsid w:val="00D13C44"/>
    <w:rsid w:val="00D14502"/>
    <w:rsid w:val="00D32331"/>
    <w:rsid w:val="00D36810"/>
    <w:rsid w:val="00D40FC2"/>
    <w:rsid w:val="00D5018E"/>
    <w:rsid w:val="00D546B2"/>
    <w:rsid w:val="00D6667A"/>
    <w:rsid w:val="00D73787"/>
    <w:rsid w:val="00D922A7"/>
    <w:rsid w:val="00D93212"/>
    <w:rsid w:val="00D975B1"/>
    <w:rsid w:val="00DA1DB8"/>
    <w:rsid w:val="00DC046D"/>
    <w:rsid w:val="00DD018C"/>
    <w:rsid w:val="00DE3F90"/>
    <w:rsid w:val="00DF453F"/>
    <w:rsid w:val="00E00323"/>
    <w:rsid w:val="00E11758"/>
    <w:rsid w:val="00E3530D"/>
    <w:rsid w:val="00E44D8B"/>
    <w:rsid w:val="00E522E0"/>
    <w:rsid w:val="00E53BF2"/>
    <w:rsid w:val="00E65F2A"/>
    <w:rsid w:val="00E70166"/>
    <w:rsid w:val="00E74967"/>
    <w:rsid w:val="00E7559F"/>
    <w:rsid w:val="00E85520"/>
    <w:rsid w:val="00E9132F"/>
    <w:rsid w:val="00EA37F5"/>
    <w:rsid w:val="00EA40D0"/>
    <w:rsid w:val="00EA7450"/>
    <w:rsid w:val="00EA7915"/>
    <w:rsid w:val="00EB0BBF"/>
    <w:rsid w:val="00ED7AA0"/>
    <w:rsid w:val="00F023F9"/>
    <w:rsid w:val="00F067C8"/>
    <w:rsid w:val="00F111FB"/>
    <w:rsid w:val="00F15B20"/>
    <w:rsid w:val="00F43AC5"/>
    <w:rsid w:val="00F46719"/>
    <w:rsid w:val="00F54F6F"/>
    <w:rsid w:val="00F6102D"/>
    <w:rsid w:val="00F65A92"/>
    <w:rsid w:val="00F6759B"/>
    <w:rsid w:val="00FA198C"/>
    <w:rsid w:val="00FC1AE8"/>
    <w:rsid w:val="00FD778A"/>
    <w:rsid w:val="00FE4BF5"/>
    <w:rsid w:val="00FF46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56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Props1.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2.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3938</Words>
  <Characters>21664</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25551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Hilaria Arriaga Quiroz</cp:lastModifiedBy>
  <cp:revision>7</cp:revision>
  <cp:lastPrinted>2024-10-25T19:24:00Z</cp:lastPrinted>
  <dcterms:created xsi:type="dcterms:W3CDTF">2025-04-28T19:41:00Z</dcterms:created>
  <dcterms:modified xsi:type="dcterms:W3CDTF">2025-10-27T20:42:00Z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